
<file path=[Content_Types].xml><?xml version="1.0" encoding="utf-8"?>
<Types xmlns="http://schemas.openxmlformats.org/package/2006/content-types">
  <Override PartName="/word/fontTable.xml" ContentType="application/vnd.openxmlformats-officedocument.wordprocessingml.fontTable+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Default Extension="png" ContentType="image/png"/>
  <Override PartName="/word/header1.xml" ContentType="application/vnd.openxmlformats-officedocument.wordprocessingml.header+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587" w:rsidRPr="009D2FA2" w:rsidRDefault="00037D09" w:rsidP="00C40587">
      <w:pPr>
        <w:spacing w:line="288" w:lineRule="auto"/>
        <w:rPr>
          <w:rFonts w:ascii="Helvetica" w:hAnsi="Helvetica"/>
          <w:b/>
        </w:rPr>
      </w:pPr>
      <w:bookmarkStart w:id="0" w:name="_GoBack"/>
      <w:bookmarkEnd w:id="0"/>
      <w:r w:rsidRPr="009D2FA2">
        <w:rPr>
          <w:rFonts w:ascii="Helvetica" w:hAnsi="Helvetica"/>
          <w:b/>
        </w:rPr>
        <w:t>PRESSEINFORMATION</w:t>
      </w:r>
    </w:p>
    <w:p w:rsidR="00C40587" w:rsidRPr="009D2FA2" w:rsidRDefault="00037D09" w:rsidP="00C40587">
      <w:pPr>
        <w:spacing w:line="288" w:lineRule="auto"/>
        <w:rPr>
          <w:rFonts w:ascii="Helvetica" w:hAnsi="Helvetica"/>
          <w:b/>
        </w:rPr>
      </w:pPr>
    </w:p>
    <w:p w:rsidR="00C40587" w:rsidRPr="009D2FA2" w:rsidRDefault="00037D09" w:rsidP="00C40587">
      <w:pPr>
        <w:spacing w:line="288" w:lineRule="auto"/>
        <w:rPr>
          <w:rFonts w:ascii="Helvetica" w:hAnsi="Helvetica"/>
          <w:sz w:val="20"/>
          <w:szCs w:val="20"/>
        </w:rPr>
      </w:pPr>
      <w:r w:rsidRPr="009D2FA2">
        <w:rPr>
          <w:rFonts w:ascii="Helvetica" w:hAnsi="Helvetica"/>
          <w:sz w:val="20"/>
          <w:szCs w:val="20"/>
        </w:rPr>
        <w:t xml:space="preserve">Hamburg, </w:t>
      </w:r>
      <w:r>
        <w:rPr>
          <w:rFonts w:ascii="Helvetica" w:hAnsi="Helvetica"/>
          <w:sz w:val="20"/>
          <w:szCs w:val="20"/>
        </w:rPr>
        <w:t>25</w:t>
      </w:r>
      <w:r w:rsidRPr="009D2FA2">
        <w:rPr>
          <w:rFonts w:ascii="Helvetica" w:hAnsi="Helvetica"/>
          <w:sz w:val="20"/>
          <w:szCs w:val="20"/>
        </w:rPr>
        <w:t>. August 2015</w:t>
      </w:r>
    </w:p>
    <w:p w:rsidR="00C40587" w:rsidRPr="009D2FA2" w:rsidRDefault="00037D09" w:rsidP="00C40587">
      <w:pPr>
        <w:spacing w:line="288" w:lineRule="auto"/>
        <w:ind w:right="1695"/>
        <w:rPr>
          <w:rFonts w:ascii="Helvetica" w:hAnsi="Helvetica"/>
          <w:b/>
          <w:szCs w:val="20"/>
        </w:rPr>
      </w:pPr>
    </w:p>
    <w:p w:rsidR="00C40587" w:rsidRPr="009D2FA2" w:rsidRDefault="00037D09" w:rsidP="00C40587">
      <w:pPr>
        <w:tabs>
          <w:tab w:val="left" w:pos="6946"/>
          <w:tab w:val="left" w:pos="7088"/>
        </w:tabs>
        <w:spacing w:line="288" w:lineRule="auto"/>
        <w:ind w:right="2127"/>
        <w:rPr>
          <w:rFonts w:ascii="Helvetica" w:hAnsi="Helvetica"/>
          <w:b/>
          <w:szCs w:val="20"/>
        </w:rPr>
      </w:pPr>
      <w:r>
        <w:rPr>
          <w:rFonts w:ascii="Helvetica" w:hAnsi="Helvetica"/>
          <w:b/>
          <w:szCs w:val="20"/>
        </w:rPr>
        <w:t xml:space="preserve">Wertvolles Wissen und breite Erfahrung: </w:t>
      </w:r>
      <w:r>
        <w:rPr>
          <w:rFonts w:ascii="Helvetica" w:hAnsi="Helvetica"/>
          <w:b/>
          <w:szCs w:val="20"/>
        </w:rPr>
        <w:br/>
        <w:t>Drei neue Führungskräfte für WatchGuard</w:t>
      </w:r>
    </w:p>
    <w:p w:rsidR="00C40587" w:rsidRPr="009D2FA2" w:rsidRDefault="00037D09" w:rsidP="00C40587">
      <w:pPr>
        <w:tabs>
          <w:tab w:val="left" w:pos="6804"/>
          <w:tab w:val="left" w:pos="6946"/>
          <w:tab w:val="left" w:pos="7655"/>
        </w:tabs>
        <w:spacing w:line="288" w:lineRule="auto"/>
        <w:ind w:right="284"/>
        <w:rPr>
          <w:rFonts w:ascii="Helvetica" w:hAnsi="Helvetica"/>
          <w:sz w:val="20"/>
          <w:szCs w:val="20"/>
        </w:rPr>
      </w:pPr>
      <w:r>
        <w:rPr>
          <w:rFonts w:ascii="Helvetica" w:hAnsi="Helvetica"/>
          <w:sz w:val="20"/>
          <w:szCs w:val="20"/>
        </w:rPr>
        <w:t xml:space="preserve">Andrew Young, Wayson Vannatta und Erik Halvorsen sind neue Vice Presidents </w:t>
      </w:r>
    </w:p>
    <w:p w:rsidR="00C40587" w:rsidRPr="009D2FA2" w:rsidRDefault="00037D09" w:rsidP="00C40587">
      <w:pPr>
        <w:tabs>
          <w:tab w:val="left" w:pos="7655"/>
        </w:tabs>
        <w:spacing w:line="288" w:lineRule="auto"/>
        <w:ind w:right="1418"/>
        <w:rPr>
          <w:rFonts w:ascii="Helvetica" w:hAnsi="Helvetica"/>
          <w:sz w:val="20"/>
          <w:szCs w:val="20"/>
        </w:rPr>
      </w:pPr>
    </w:p>
    <w:p w:rsidR="00C40587" w:rsidRDefault="00037D09" w:rsidP="00C40587">
      <w:pPr>
        <w:tabs>
          <w:tab w:val="left" w:pos="7655"/>
        </w:tabs>
        <w:spacing w:line="288" w:lineRule="auto"/>
        <w:ind w:right="1418"/>
        <w:rPr>
          <w:rFonts w:ascii="Helvetica" w:hAnsi="Helvetica"/>
          <w:b/>
          <w:sz w:val="20"/>
          <w:szCs w:val="20"/>
        </w:rPr>
      </w:pPr>
      <w:r>
        <w:rPr>
          <w:rFonts w:ascii="Helvetica" w:hAnsi="Helvetica"/>
          <w:b/>
          <w:sz w:val="20"/>
          <w:szCs w:val="20"/>
        </w:rPr>
        <w:t xml:space="preserve">Vor dem Hintergrund des anhaltenden Unternehmenswachstums gibt </w:t>
      </w:r>
      <w:r w:rsidRPr="009D2FA2">
        <w:rPr>
          <w:rFonts w:ascii="Helvetica" w:hAnsi="Helvetica"/>
          <w:b/>
          <w:sz w:val="20"/>
          <w:szCs w:val="20"/>
        </w:rPr>
        <w:t>WatchGuard Technologies</w:t>
      </w:r>
      <w:r>
        <w:rPr>
          <w:rFonts w:ascii="Helvetica" w:hAnsi="Helvetica"/>
          <w:b/>
          <w:sz w:val="20"/>
          <w:szCs w:val="20"/>
        </w:rPr>
        <w:t xml:space="preserve"> die Berufung von Andrew Young als Vice President Product Management und Wayson Vannatta als Vice President Information Technology bekannt. Darüber hinaus ist Erik Halvorsen, bisher als Senior Director für den Verkauf in Nordamerika zuständig, zum Vice Pre</w:t>
      </w:r>
      <w:r>
        <w:rPr>
          <w:rFonts w:ascii="Helvetica" w:hAnsi="Helvetica"/>
          <w:b/>
          <w:sz w:val="20"/>
          <w:szCs w:val="20"/>
        </w:rPr>
        <w:t>sident of Americas Sales ernannt worden. Das Trio bringt über 50 Jahre Erfahrung ins Unternehmen</w:t>
      </w:r>
      <w:proofErr w:type="gramStart"/>
      <w:r>
        <w:rPr>
          <w:rFonts w:ascii="Helvetica" w:hAnsi="Helvetica"/>
          <w:b/>
          <w:sz w:val="20"/>
          <w:szCs w:val="20"/>
        </w:rPr>
        <w:t>, das</w:t>
      </w:r>
      <w:proofErr w:type="gramEnd"/>
      <w:r>
        <w:rPr>
          <w:rFonts w:ascii="Helvetica" w:hAnsi="Helvetica"/>
          <w:b/>
          <w:sz w:val="20"/>
          <w:szCs w:val="20"/>
        </w:rPr>
        <w:t xml:space="preserve"> sich in einer Periode beschleunigten Wachstums und </w:t>
      </w:r>
      <w:r w:rsidRPr="00CA1E21">
        <w:rPr>
          <w:rFonts w:ascii="Helvetica" w:hAnsi="Helvetica"/>
          <w:b/>
          <w:bCs/>
          <w:spacing w:val="-2"/>
          <w:sz w:val="20"/>
          <w:szCs w:val="20"/>
        </w:rPr>
        <w:t>Produkt-Innovation befindet. „Wir sind in einer unglaublichen Vorwärtsbewegung</w:t>
      </w:r>
      <w:r>
        <w:rPr>
          <w:rFonts w:ascii="Helvetica" w:hAnsi="Helvetica"/>
          <w:b/>
          <w:sz w:val="20"/>
          <w:szCs w:val="20"/>
        </w:rPr>
        <w:t xml:space="preserve"> hinsichtlich Wachstum, I</w:t>
      </w:r>
      <w:r>
        <w:rPr>
          <w:rFonts w:ascii="Helvetica" w:hAnsi="Helvetica"/>
          <w:b/>
          <w:sz w:val="20"/>
          <w:szCs w:val="20"/>
        </w:rPr>
        <w:t>nnovation und Anerkennung in der Branche“, sagt WatchGuard-CEO Prakash Panjwani. „Erik, Andrew und Wayson verfügen über eine Fülle an Erfahrung und sind beispielhaft für das hochleistungsfähige, branchenführende Team, das wir aufgebaut haben, um WatchGuard</w:t>
      </w:r>
      <w:r>
        <w:rPr>
          <w:rFonts w:ascii="Helvetica" w:hAnsi="Helvetica"/>
          <w:b/>
          <w:sz w:val="20"/>
          <w:szCs w:val="20"/>
        </w:rPr>
        <w:t>s Dynamik nachhaltig zu stärken und zu weiter zu beschleunigen.“</w:t>
      </w:r>
    </w:p>
    <w:p w:rsidR="00C40587" w:rsidRDefault="00037D09" w:rsidP="00C40587">
      <w:pPr>
        <w:tabs>
          <w:tab w:val="left" w:pos="7655"/>
        </w:tabs>
        <w:spacing w:line="288" w:lineRule="auto"/>
        <w:ind w:right="1418"/>
        <w:rPr>
          <w:rFonts w:ascii="Helvetica" w:hAnsi="Helvetica"/>
          <w:b/>
          <w:sz w:val="20"/>
          <w:szCs w:val="20"/>
        </w:rPr>
      </w:pPr>
    </w:p>
    <w:p w:rsidR="00C40587" w:rsidRDefault="00037D09" w:rsidP="00C40587">
      <w:pPr>
        <w:tabs>
          <w:tab w:val="left" w:pos="7655"/>
        </w:tabs>
        <w:spacing w:line="288" w:lineRule="auto"/>
        <w:ind w:right="1418"/>
        <w:rPr>
          <w:rFonts w:ascii="Helvetica" w:hAnsi="Helvetica"/>
          <w:sz w:val="20"/>
          <w:szCs w:val="20"/>
        </w:rPr>
      </w:pPr>
      <w:r w:rsidRPr="00432215">
        <w:rPr>
          <w:rFonts w:ascii="Helvetica" w:hAnsi="Helvetica"/>
          <w:b/>
          <w:sz w:val="20"/>
          <w:szCs w:val="20"/>
        </w:rPr>
        <w:t>Andrew Young</w:t>
      </w:r>
      <w:r w:rsidRPr="00862156">
        <w:rPr>
          <w:rFonts w:ascii="Helvetica" w:hAnsi="Helvetica"/>
          <w:sz w:val="20"/>
          <w:szCs w:val="20"/>
        </w:rPr>
        <w:t xml:space="preserve"> wird als Vice President Product Management </w:t>
      </w:r>
      <w:r>
        <w:rPr>
          <w:rFonts w:ascii="Helvetica" w:hAnsi="Helvetica"/>
          <w:sz w:val="20"/>
          <w:szCs w:val="20"/>
        </w:rPr>
        <w:t>das gesamte Produkt-Management, Programm-Mangement und die Produktstrategie. verantworten. Seine über 20-jährige Erfahrung in der Etab</w:t>
      </w:r>
      <w:r>
        <w:rPr>
          <w:rFonts w:ascii="Helvetica" w:hAnsi="Helvetica"/>
          <w:sz w:val="20"/>
          <w:szCs w:val="20"/>
        </w:rPr>
        <w:t>lierung von Hard- und Software- und SaaS-Produkten am Markt bedeuten für das Team einen unschätzbaren Gewinn an Know-how. Young kommt von Gemalto, wo er das Management der Identitätsschutz-Produkte für die Bereiche Unternehmen, E-Banking und vertrauenswürd</w:t>
      </w:r>
      <w:r>
        <w:rPr>
          <w:rFonts w:ascii="Helvetica" w:hAnsi="Helvetica"/>
          <w:sz w:val="20"/>
          <w:szCs w:val="20"/>
        </w:rPr>
        <w:t>ige Identitäten leitete. Außerdem war er elf Jahre bei SafeNet in verschiedenen Positionen des Produkt-Managements tätig und leitete zuvor Engineering-Teams bei Rainbow Technologies.</w:t>
      </w:r>
    </w:p>
    <w:p w:rsidR="00C40587" w:rsidRDefault="00037D09" w:rsidP="00C40587">
      <w:pPr>
        <w:tabs>
          <w:tab w:val="left" w:pos="7655"/>
        </w:tabs>
        <w:spacing w:line="288" w:lineRule="auto"/>
        <w:ind w:right="1418"/>
        <w:rPr>
          <w:rFonts w:ascii="Helvetica" w:hAnsi="Helvetica"/>
          <w:sz w:val="20"/>
          <w:szCs w:val="20"/>
        </w:rPr>
      </w:pPr>
    </w:p>
    <w:p w:rsidR="00C40587" w:rsidRDefault="00037D09" w:rsidP="00C40587">
      <w:pPr>
        <w:tabs>
          <w:tab w:val="left" w:pos="7655"/>
        </w:tabs>
        <w:spacing w:line="288" w:lineRule="auto"/>
        <w:ind w:right="1418"/>
        <w:rPr>
          <w:rFonts w:ascii="Helvetica" w:hAnsi="Helvetica"/>
          <w:sz w:val="20"/>
          <w:szCs w:val="20"/>
        </w:rPr>
      </w:pPr>
      <w:r>
        <w:rPr>
          <w:rFonts w:ascii="Helvetica" w:hAnsi="Helvetica"/>
          <w:b/>
          <w:sz w:val="20"/>
          <w:szCs w:val="20"/>
        </w:rPr>
        <w:t>Wayson V</w:t>
      </w:r>
      <w:r w:rsidRPr="00432215">
        <w:rPr>
          <w:rFonts w:ascii="Helvetica" w:hAnsi="Helvetica"/>
          <w:b/>
          <w:sz w:val="20"/>
          <w:szCs w:val="20"/>
        </w:rPr>
        <w:t>annatta</w:t>
      </w:r>
      <w:r>
        <w:rPr>
          <w:rFonts w:ascii="Helvetica" w:hAnsi="Helvetica"/>
          <w:sz w:val="20"/>
          <w:szCs w:val="20"/>
        </w:rPr>
        <w:t xml:space="preserve"> wird als Vice President IT die IT-Strategie des Unternehmens inklusive Unternehmensanwendungen und globaler Infrastruktur leiten. Er verfügt über mehr als 18 Jahre Erfahrung in IT-Mangement, -Entwicklung und -Betrieb. Vannatta stösst von InfoSpace zu Watc</w:t>
      </w:r>
      <w:r>
        <w:rPr>
          <w:rFonts w:ascii="Helvetica" w:hAnsi="Helvetica"/>
          <w:sz w:val="20"/>
          <w:szCs w:val="20"/>
        </w:rPr>
        <w:t>hGuard, wo er als Vice President of Technology für Software- und Infrastruktur-Engineering, Unternehmenssysteme und Data Warehouse Management verantwortlich zeichnete. Bei InfoSpace war er massgeblich daran beteiligt, die gesamte Infrastruktur des Unterneh</w:t>
      </w:r>
      <w:r>
        <w:rPr>
          <w:rFonts w:ascii="Helvetica" w:hAnsi="Helvetica"/>
          <w:sz w:val="20"/>
          <w:szCs w:val="20"/>
        </w:rPr>
        <w:t>mens in die Public Cloud zu transferieren, die Software-Auslieferung zu modernisieren und so den Unternehmensgewinn zu steigern. Vor seiner Zeit bei InfoSpace hatte er diverse Positionen im Programm-Mangement bei AT&amp;T Wireless inne. Er begann seine Karrier</w:t>
      </w:r>
      <w:r>
        <w:rPr>
          <w:rFonts w:ascii="Helvetica" w:hAnsi="Helvetica"/>
          <w:sz w:val="20"/>
          <w:szCs w:val="20"/>
        </w:rPr>
        <w:t>e bei der U.S. Air Force.</w:t>
      </w:r>
    </w:p>
    <w:p w:rsidR="00C40587" w:rsidRDefault="00037D09" w:rsidP="00C40587">
      <w:pPr>
        <w:tabs>
          <w:tab w:val="left" w:pos="7655"/>
        </w:tabs>
        <w:spacing w:line="288" w:lineRule="auto"/>
        <w:ind w:right="1418"/>
        <w:rPr>
          <w:rFonts w:ascii="Helvetica" w:hAnsi="Helvetica"/>
          <w:sz w:val="20"/>
          <w:szCs w:val="20"/>
        </w:rPr>
      </w:pPr>
    </w:p>
    <w:p w:rsidR="00C40587" w:rsidRDefault="00037D09" w:rsidP="00C40587">
      <w:pPr>
        <w:tabs>
          <w:tab w:val="left" w:pos="7655"/>
        </w:tabs>
        <w:spacing w:line="288" w:lineRule="auto"/>
        <w:ind w:right="1418"/>
        <w:rPr>
          <w:rFonts w:ascii="Helvetica" w:hAnsi="Helvetica"/>
          <w:sz w:val="20"/>
          <w:szCs w:val="20"/>
        </w:rPr>
      </w:pPr>
      <w:r w:rsidRPr="00432215">
        <w:rPr>
          <w:rFonts w:ascii="Helvetica" w:hAnsi="Helvetica"/>
          <w:b/>
          <w:sz w:val="20"/>
          <w:szCs w:val="20"/>
        </w:rPr>
        <w:t>Erik Halvorsen</w:t>
      </w:r>
      <w:r>
        <w:rPr>
          <w:rFonts w:ascii="Helvetica" w:hAnsi="Helvetica"/>
          <w:sz w:val="20"/>
          <w:szCs w:val="20"/>
        </w:rPr>
        <w:t xml:space="preserve"> wird als Vice President den Vertriebsteams in Kanada, den USA und Lateinamerika vorstehen. Er kam 2003 als Territory Sales Manager zu WatchGuard </w:t>
      </w:r>
      <w:r w:rsidRPr="00D57738">
        <w:rPr>
          <w:rFonts w:ascii="Helvetica" w:hAnsi="Helvetica"/>
          <w:spacing w:val="-2"/>
          <w:sz w:val="20"/>
          <w:szCs w:val="20"/>
        </w:rPr>
        <w:t>und schaffte es, den Südosten der USA für WatchGuard zu einem der ums</w:t>
      </w:r>
      <w:r w:rsidRPr="00D57738">
        <w:rPr>
          <w:rFonts w:ascii="Helvetica" w:hAnsi="Helvetica"/>
          <w:spacing w:val="-2"/>
          <w:sz w:val="20"/>
          <w:szCs w:val="20"/>
        </w:rPr>
        <w:t>atzstärksten</w:t>
      </w:r>
      <w:r>
        <w:rPr>
          <w:rFonts w:ascii="Helvetica" w:hAnsi="Helvetica"/>
          <w:sz w:val="20"/>
          <w:szCs w:val="20"/>
        </w:rPr>
        <w:t xml:space="preserve"> Gebiete zu machen. 2013 übernahm er das Management der Partner und Distributoren in den USA und der nordamerikanischen Direktverkaufs-Teams. Halvorsen nahm eine Schlüsselrolle bei der Umsetzung von WatchGuards neuer Go-To-Market-Strategie in d</w:t>
      </w:r>
      <w:r>
        <w:rPr>
          <w:rFonts w:ascii="Helvetica" w:hAnsi="Helvetica"/>
          <w:sz w:val="20"/>
          <w:szCs w:val="20"/>
        </w:rPr>
        <w:t xml:space="preserve">en USA ein und trieb so das schnelle Wachstum des Unternehmens voran. </w:t>
      </w:r>
    </w:p>
    <w:p w:rsidR="00C40587" w:rsidRDefault="00037D09" w:rsidP="00C40587">
      <w:pPr>
        <w:spacing w:line="288" w:lineRule="auto"/>
        <w:ind w:right="284"/>
        <w:rPr>
          <w:rFonts w:ascii="Arial" w:hAnsi="Arial" w:cs="Arial"/>
          <w:b/>
          <w:sz w:val="20"/>
          <w:szCs w:val="20"/>
        </w:rPr>
      </w:pPr>
    </w:p>
    <w:tbl>
      <w:tblPr>
        <w:tblW w:w="7547" w:type="dxa"/>
        <w:tblInd w:w="216" w:type="dxa"/>
        <w:tblLayout w:type="fixed"/>
        <w:tblCellMar>
          <w:top w:w="57" w:type="dxa"/>
          <w:bottom w:w="57" w:type="dxa"/>
        </w:tblCellMar>
        <w:tblLook w:val="00BF"/>
      </w:tblPr>
      <w:tblGrid>
        <w:gridCol w:w="2444"/>
        <w:gridCol w:w="2410"/>
        <w:gridCol w:w="2693"/>
      </w:tblGrid>
      <w:tr w:rsidR="00C40587" w:rsidRPr="00E5489A">
        <w:tc>
          <w:tcPr>
            <w:tcW w:w="2444" w:type="dxa"/>
          </w:tcPr>
          <w:p w:rsidR="00C40587" w:rsidRPr="00B82CA0" w:rsidRDefault="00037D09" w:rsidP="0093066B">
            <w:pPr>
              <w:pStyle w:val="Textkrper"/>
              <w:spacing w:line="288" w:lineRule="auto"/>
              <w:ind w:right="-1"/>
              <w:rPr>
                <w:b w:val="0"/>
                <w:color w:val="FF0000"/>
                <w:sz w:val="20"/>
                <w:lang w:eastAsia="de-DE"/>
              </w:rPr>
            </w:pPr>
            <w:r w:rsidRPr="00B82CA0">
              <w:rPr>
                <w:b w:val="0"/>
                <w:noProof/>
                <w:color w:val="FF0000"/>
                <w:sz w:val="20"/>
                <w:lang w:eastAsia="de-DE"/>
              </w:rPr>
              <w:drawing>
                <wp:inline distT="0" distB="0" distL="0" distR="0">
                  <wp:extent cx="1080000" cy="1277100"/>
                  <wp:effectExtent l="0" t="0" r="12700" b="0"/>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_Andrew_Young_klein.jpg"/>
                          <pic:cNvPicPr/>
                        </pic:nvPicPr>
                        <pic:blipFill>
                          <a:blip r:embed="rId5">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tretch>
                            <a:fillRect/>
                          </a:stretch>
                        </pic:blipFill>
                        <pic:spPr>
                          <a:xfrm>
                            <a:off x="0" y="0"/>
                            <a:ext cx="1080000" cy="1277100"/>
                          </a:xfrm>
                          <a:prstGeom prst="rect">
                            <a:avLst/>
                          </a:prstGeom>
                          <a:extLst>
                            <a:ext uri="{FAA26D3D-D897-4be2-8F04-BA451C77F1D7}">
                              <ma14:placeholderFlag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ma14="http://schemas.microsoft.com/office/mac/drawingml/2011/main" xmlns:ve="http://schemas.openxmlformats.org/markup-compatibility/2006"/>
                            </a:ext>
                          </a:extLst>
                        </pic:spPr>
                      </pic:pic>
                    </a:graphicData>
                  </a:graphic>
                </wp:inline>
              </w:drawing>
            </w:r>
          </w:p>
        </w:tc>
        <w:tc>
          <w:tcPr>
            <w:tcW w:w="2410" w:type="dxa"/>
          </w:tcPr>
          <w:p w:rsidR="00C40587" w:rsidRPr="00B82CA0" w:rsidRDefault="00037D09" w:rsidP="0093066B">
            <w:pPr>
              <w:widowControl w:val="0"/>
              <w:tabs>
                <w:tab w:val="left" w:pos="220"/>
                <w:tab w:val="left" w:pos="720"/>
              </w:tabs>
              <w:autoSpaceDE w:val="0"/>
              <w:autoSpaceDN w:val="0"/>
              <w:adjustRightInd w:val="0"/>
              <w:spacing w:line="288" w:lineRule="auto"/>
              <w:ind w:left="175" w:right="-1"/>
              <w:rPr>
                <w:rFonts w:eastAsia="Times New Roman"/>
                <w:sz w:val="20"/>
              </w:rPr>
            </w:pPr>
            <w:r w:rsidRPr="00B82CA0">
              <w:rPr>
                <w:rFonts w:eastAsia="Times New Roman"/>
                <w:noProof/>
                <w:sz w:val="20"/>
              </w:rPr>
              <w:drawing>
                <wp:inline distT="0" distB="0" distL="0" distR="0">
                  <wp:extent cx="1106494" cy="1278000"/>
                  <wp:effectExtent l="0" t="0" r="11430" b="0"/>
                  <wp:docPr id="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_Wayson_Vannatta_klein.jpg"/>
                          <pic:cNvPicPr/>
                        </pic:nvPicPr>
                        <pic:blipFill>
                          <a:blip r:embed="rId6">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tretch>
                            <a:fillRect/>
                          </a:stretch>
                        </pic:blipFill>
                        <pic:spPr>
                          <a:xfrm>
                            <a:off x="0" y="0"/>
                            <a:ext cx="1106494" cy="1278000"/>
                          </a:xfrm>
                          <a:prstGeom prst="rect">
                            <a:avLst/>
                          </a:prstGeom>
                        </pic:spPr>
                      </pic:pic>
                    </a:graphicData>
                  </a:graphic>
                </wp:inline>
              </w:drawing>
            </w:r>
          </w:p>
        </w:tc>
        <w:tc>
          <w:tcPr>
            <w:tcW w:w="2693" w:type="dxa"/>
          </w:tcPr>
          <w:p w:rsidR="00C40587" w:rsidRPr="00B82CA0" w:rsidRDefault="00037D09" w:rsidP="00B82CA0">
            <w:pPr>
              <w:widowControl w:val="0"/>
              <w:tabs>
                <w:tab w:val="left" w:pos="220"/>
                <w:tab w:val="left" w:pos="720"/>
              </w:tabs>
              <w:autoSpaceDE w:val="0"/>
              <w:autoSpaceDN w:val="0"/>
              <w:adjustRightInd w:val="0"/>
              <w:spacing w:line="288" w:lineRule="auto"/>
              <w:ind w:left="175" w:right="-1"/>
              <w:rPr>
                <w:rFonts w:eastAsia="Times New Roman"/>
                <w:noProof/>
                <w:sz w:val="20"/>
              </w:rPr>
            </w:pPr>
            <w:r w:rsidRPr="00B82CA0">
              <w:rPr>
                <w:rFonts w:eastAsia="Times New Roman"/>
                <w:noProof/>
                <w:sz w:val="20"/>
              </w:rPr>
              <w:drawing>
                <wp:inline distT="0" distB="0" distL="0" distR="0">
                  <wp:extent cx="1400548" cy="1278000"/>
                  <wp:effectExtent l="0" t="0" r="0" b="0"/>
                  <wp:docPr id="5"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_Erik_Halverson_klein.jpg"/>
                          <pic:cNvPicPr/>
                        </pic:nvPicPr>
                        <pic:blipFill>
                          <a:blip r:embed="rId7">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tretch>
                            <a:fillRect/>
                          </a:stretch>
                        </pic:blipFill>
                        <pic:spPr>
                          <a:xfrm>
                            <a:off x="0" y="0"/>
                            <a:ext cx="1400548" cy="1278000"/>
                          </a:xfrm>
                          <a:prstGeom prst="rect">
                            <a:avLst/>
                          </a:prstGeom>
                        </pic:spPr>
                      </pic:pic>
                    </a:graphicData>
                  </a:graphic>
                </wp:inline>
              </w:drawing>
            </w:r>
          </w:p>
        </w:tc>
      </w:tr>
      <w:tr w:rsidR="00C40587" w:rsidRPr="00F75F2B">
        <w:trPr>
          <w:trHeight w:val="1058"/>
        </w:trPr>
        <w:tc>
          <w:tcPr>
            <w:tcW w:w="2444" w:type="dxa"/>
          </w:tcPr>
          <w:p w:rsidR="00C40587" w:rsidRDefault="00037D09" w:rsidP="0093066B">
            <w:pPr>
              <w:spacing w:line="252" w:lineRule="auto"/>
              <w:ind w:right="284"/>
              <w:rPr>
                <w:rFonts w:ascii="Helvetica" w:hAnsi="Helvetica" w:cs="Apple Chancery"/>
                <w:sz w:val="18"/>
                <w:szCs w:val="18"/>
              </w:rPr>
            </w:pPr>
            <w:r w:rsidRPr="009B6EE8">
              <w:rPr>
                <w:rFonts w:ascii="Helvetica" w:hAnsi="Helvetica" w:cs="Apple Chancery"/>
                <w:sz w:val="18"/>
                <w:szCs w:val="18"/>
              </w:rPr>
              <w:t xml:space="preserve">Andrew Young, </w:t>
            </w:r>
            <w:r>
              <w:rPr>
                <w:rFonts w:ascii="Helvetica" w:hAnsi="Helvetica" w:cs="Apple Chancery"/>
                <w:sz w:val="18"/>
                <w:szCs w:val="18"/>
              </w:rPr>
              <w:br/>
            </w:r>
            <w:r w:rsidRPr="009B6EE8">
              <w:rPr>
                <w:rFonts w:ascii="Helvetica" w:hAnsi="Helvetica" w:cs="Apple Chancery"/>
                <w:sz w:val="18"/>
                <w:szCs w:val="18"/>
              </w:rPr>
              <w:t xml:space="preserve">Vice President Product </w:t>
            </w:r>
            <w:r>
              <w:rPr>
                <w:rFonts w:ascii="Helvetica" w:hAnsi="Helvetica" w:cs="Apple Chancery"/>
                <w:sz w:val="18"/>
                <w:szCs w:val="18"/>
              </w:rPr>
              <w:br/>
            </w:r>
            <w:r w:rsidRPr="009B6EE8">
              <w:rPr>
                <w:rFonts w:ascii="Helvetica" w:hAnsi="Helvetica" w:cs="Apple Chancery"/>
                <w:sz w:val="18"/>
                <w:szCs w:val="18"/>
              </w:rPr>
              <w:t>Management</w:t>
            </w:r>
            <w:r>
              <w:rPr>
                <w:rFonts w:ascii="Helvetica" w:hAnsi="Helvetica" w:cs="Apple Chancery"/>
                <w:sz w:val="18"/>
                <w:szCs w:val="18"/>
              </w:rPr>
              <w:t>.</w:t>
            </w:r>
          </w:p>
          <w:p w:rsidR="00C40587" w:rsidRPr="00F75F2B" w:rsidRDefault="00037D09" w:rsidP="0093066B">
            <w:pPr>
              <w:pStyle w:val="Kopfzeile"/>
              <w:rPr>
                <w:rFonts w:cs="Arial"/>
                <w:sz w:val="16"/>
                <w:szCs w:val="24"/>
                <w:lang w:eastAsia="de-DE"/>
              </w:rPr>
            </w:pPr>
          </w:p>
        </w:tc>
        <w:tc>
          <w:tcPr>
            <w:tcW w:w="2410" w:type="dxa"/>
          </w:tcPr>
          <w:p w:rsidR="00C40587" w:rsidRPr="0093066B" w:rsidRDefault="00037D09" w:rsidP="0093066B">
            <w:pPr>
              <w:spacing w:line="252" w:lineRule="auto"/>
              <w:ind w:right="284"/>
              <w:rPr>
                <w:rFonts w:ascii="Helvetica" w:hAnsi="Helvetica" w:cs="Apple Chancery"/>
                <w:sz w:val="18"/>
                <w:szCs w:val="18"/>
              </w:rPr>
            </w:pPr>
            <w:r>
              <w:rPr>
                <w:rFonts w:ascii="Helvetica" w:hAnsi="Helvetica" w:cs="Apple Chancery"/>
                <w:sz w:val="18"/>
                <w:szCs w:val="18"/>
              </w:rPr>
              <w:t xml:space="preserve">Wyson Vanatta, </w:t>
            </w:r>
            <w:r>
              <w:rPr>
                <w:rFonts w:ascii="Helvetica" w:hAnsi="Helvetica" w:cs="Apple Chancery"/>
                <w:sz w:val="18"/>
                <w:szCs w:val="18"/>
              </w:rPr>
              <w:br/>
              <w:t>Vice President IT</w:t>
            </w:r>
          </w:p>
        </w:tc>
        <w:tc>
          <w:tcPr>
            <w:tcW w:w="2693" w:type="dxa"/>
          </w:tcPr>
          <w:p w:rsidR="00C40587" w:rsidRDefault="00037D09" w:rsidP="0093066B">
            <w:pPr>
              <w:spacing w:line="252" w:lineRule="auto"/>
              <w:ind w:right="284"/>
              <w:rPr>
                <w:rFonts w:ascii="Helvetica" w:hAnsi="Helvetica" w:cs="Apple Chancery"/>
                <w:sz w:val="18"/>
                <w:szCs w:val="18"/>
              </w:rPr>
            </w:pPr>
            <w:r>
              <w:rPr>
                <w:rFonts w:ascii="Helvetica" w:hAnsi="Helvetica" w:cs="Apple Chancery"/>
                <w:sz w:val="18"/>
                <w:szCs w:val="18"/>
              </w:rPr>
              <w:t>Erik Halvorsen,</w:t>
            </w:r>
            <w:r>
              <w:rPr>
                <w:rFonts w:ascii="Helvetica" w:hAnsi="Helvetica" w:cs="Apple Chancery"/>
                <w:sz w:val="18"/>
                <w:szCs w:val="18"/>
              </w:rPr>
              <w:t xml:space="preserve"> </w:t>
            </w:r>
            <w:r>
              <w:rPr>
                <w:rFonts w:ascii="Helvetica" w:hAnsi="Helvetica" w:cs="Apple Chancery"/>
                <w:sz w:val="18"/>
                <w:szCs w:val="18"/>
              </w:rPr>
              <w:br/>
              <w:t xml:space="preserve">Vice President Vertrieb USA, Kanada und </w:t>
            </w:r>
            <w:r>
              <w:rPr>
                <w:rFonts w:ascii="Helvetica" w:hAnsi="Helvetica" w:cs="Apple Chancery"/>
                <w:sz w:val="18"/>
                <w:szCs w:val="18"/>
              </w:rPr>
              <w:t>Lateinamerika</w:t>
            </w:r>
          </w:p>
          <w:p w:rsidR="00C40587" w:rsidRPr="00F75F2B" w:rsidRDefault="00037D09" w:rsidP="0093066B">
            <w:pPr>
              <w:pStyle w:val="Textkrper"/>
              <w:ind w:right="34"/>
              <w:rPr>
                <w:b w:val="0"/>
                <w:sz w:val="16"/>
                <w:lang w:eastAsia="de-DE"/>
              </w:rPr>
            </w:pPr>
          </w:p>
        </w:tc>
      </w:tr>
    </w:tbl>
    <w:p w:rsidR="00C40587" w:rsidRDefault="00037D09" w:rsidP="00C40587">
      <w:pPr>
        <w:spacing w:line="288" w:lineRule="auto"/>
        <w:ind w:right="284"/>
        <w:rPr>
          <w:rFonts w:ascii="Arial" w:hAnsi="Arial" w:cs="Arial"/>
          <w:b/>
          <w:sz w:val="20"/>
          <w:szCs w:val="20"/>
        </w:rPr>
      </w:pPr>
    </w:p>
    <w:p w:rsidR="00C40587" w:rsidRPr="009D2FA2" w:rsidRDefault="00037D09" w:rsidP="00C40587">
      <w:pPr>
        <w:spacing w:line="288" w:lineRule="auto"/>
        <w:ind w:right="284"/>
        <w:rPr>
          <w:rFonts w:ascii="Arial" w:hAnsi="Arial" w:cs="Arial"/>
          <w:b/>
          <w:sz w:val="20"/>
          <w:szCs w:val="20"/>
        </w:rPr>
      </w:pPr>
    </w:p>
    <w:p w:rsidR="00C40587" w:rsidRPr="009D2FA2" w:rsidRDefault="00037D09" w:rsidP="00C40587">
      <w:pPr>
        <w:spacing w:line="288" w:lineRule="auto"/>
        <w:ind w:right="284"/>
        <w:rPr>
          <w:rFonts w:ascii="Arial" w:hAnsi="Arial" w:cs="Arial"/>
          <w:b/>
          <w:sz w:val="20"/>
          <w:szCs w:val="20"/>
        </w:rPr>
      </w:pPr>
      <w:r w:rsidRPr="009D2FA2">
        <w:rPr>
          <w:rFonts w:ascii="Arial" w:hAnsi="Arial" w:cs="Arial"/>
          <w:b/>
          <w:sz w:val="20"/>
          <w:szCs w:val="20"/>
        </w:rPr>
        <w:t>Bildanforderung</w:t>
      </w:r>
    </w:p>
    <w:p w:rsidR="00C40587" w:rsidRDefault="00037D09" w:rsidP="00C40587">
      <w:pPr>
        <w:spacing w:line="288" w:lineRule="auto"/>
        <w:ind w:right="284"/>
        <w:rPr>
          <w:rFonts w:ascii="Arial" w:hAnsi="Arial" w:cs="Arial"/>
          <w:sz w:val="20"/>
          <w:szCs w:val="20"/>
        </w:rPr>
      </w:pPr>
      <w:r w:rsidRPr="009D2FA2">
        <w:rPr>
          <w:rFonts w:ascii="Arial" w:hAnsi="Arial" w:cs="Arial"/>
          <w:sz w:val="20"/>
          <w:szCs w:val="20"/>
        </w:rPr>
        <w:t>Bildmaterial zum Download finden Sie in unserem Medienportal press-n-relations.amid-pr.com (</w:t>
      </w:r>
      <w:proofErr w:type="gramStart"/>
      <w:r w:rsidRPr="009D2FA2">
        <w:rPr>
          <w:rFonts w:ascii="Arial" w:hAnsi="Arial" w:cs="Arial"/>
          <w:sz w:val="20"/>
          <w:szCs w:val="20"/>
        </w:rPr>
        <w:t>Suchbegriff „</w:t>
      </w:r>
      <w:proofErr w:type="gramEnd"/>
      <w:r>
        <w:rPr>
          <w:rFonts w:ascii="Arial" w:hAnsi="Arial" w:cs="Arial"/>
          <w:sz w:val="20"/>
          <w:szCs w:val="20"/>
        </w:rPr>
        <w:t>Vice</w:t>
      </w:r>
      <w:r>
        <w:rPr>
          <w:rFonts w:ascii="Arial" w:hAnsi="Arial" w:cs="Arial"/>
          <w:sz w:val="20"/>
          <w:szCs w:val="20"/>
        </w:rPr>
        <w:t>Presidents</w:t>
      </w:r>
      <w:r w:rsidRPr="009D2FA2">
        <w:rPr>
          <w:rFonts w:ascii="Arial" w:hAnsi="Arial" w:cs="Arial"/>
          <w:sz w:val="20"/>
          <w:szCs w:val="20"/>
        </w:rPr>
        <w:t xml:space="preserve">“). Selbstverständlich schicke ich Ihnen die Datei auch gerne per E-Mail zu. </w:t>
      </w:r>
    </w:p>
    <w:p w:rsidR="00C40587" w:rsidRPr="009D2FA2" w:rsidRDefault="00037D09" w:rsidP="00C40587">
      <w:pPr>
        <w:tabs>
          <w:tab w:val="left" w:pos="7230"/>
        </w:tabs>
        <w:spacing w:line="288" w:lineRule="auto"/>
        <w:ind w:right="1843"/>
        <w:rPr>
          <w:rFonts w:ascii="Helvetica" w:hAnsi="Helvetica"/>
          <w:sz w:val="20"/>
          <w:szCs w:val="20"/>
        </w:rPr>
      </w:pPr>
    </w:p>
    <w:tbl>
      <w:tblPr>
        <w:tblW w:w="8717" w:type="dxa"/>
        <w:tblCellMar>
          <w:left w:w="70" w:type="dxa"/>
          <w:right w:w="70" w:type="dxa"/>
        </w:tblCellMar>
        <w:tblLook w:val="0000"/>
      </w:tblPr>
      <w:tblGrid>
        <w:gridCol w:w="4606"/>
        <w:gridCol w:w="4111"/>
      </w:tblGrid>
      <w:tr w:rsidR="00C40587" w:rsidRPr="009D2FA2">
        <w:trPr>
          <w:trHeight w:val="1436"/>
        </w:trPr>
        <w:tc>
          <w:tcPr>
            <w:tcW w:w="4606" w:type="dxa"/>
          </w:tcPr>
          <w:p w:rsidR="00C40587" w:rsidRPr="009D2FA2" w:rsidRDefault="00037D09" w:rsidP="007D632C">
            <w:pPr>
              <w:pStyle w:val="Textkrper"/>
              <w:spacing w:line="312" w:lineRule="auto"/>
              <w:ind w:right="426"/>
              <w:rPr>
                <w:bCs/>
                <w:sz w:val="16"/>
              </w:rPr>
            </w:pPr>
            <w:r w:rsidRPr="009D2FA2">
              <w:rPr>
                <w:bCs/>
                <w:sz w:val="16"/>
              </w:rPr>
              <w:t>Weitere Informationen:</w:t>
            </w:r>
          </w:p>
          <w:p w:rsidR="00C40587" w:rsidRPr="009D2FA2" w:rsidRDefault="00037D09" w:rsidP="007D632C">
            <w:pPr>
              <w:pStyle w:val="Textkrper"/>
              <w:tabs>
                <w:tab w:val="left" w:pos="7513"/>
              </w:tabs>
              <w:spacing w:line="312" w:lineRule="auto"/>
              <w:rPr>
                <w:b w:val="0"/>
                <w:sz w:val="16"/>
              </w:rPr>
            </w:pPr>
            <w:r w:rsidRPr="009D2FA2">
              <w:rPr>
                <w:b w:val="0"/>
                <w:sz w:val="16"/>
              </w:rPr>
              <w:t>WatchGuard Technologies</w:t>
            </w:r>
            <w:r w:rsidRPr="009D2FA2">
              <w:rPr>
                <w:b w:val="0"/>
                <w:sz w:val="16"/>
              </w:rPr>
              <w:t xml:space="preserve"> GmbH</w:t>
            </w:r>
          </w:p>
          <w:p w:rsidR="00C40587" w:rsidRPr="009D2FA2" w:rsidRDefault="00037D09" w:rsidP="007D632C">
            <w:pPr>
              <w:pStyle w:val="Textkrper"/>
              <w:tabs>
                <w:tab w:val="left" w:pos="7513"/>
              </w:tabs>
              <w:spacing w:line="312" w:lineRule="auto"/>
              <w:rPr>
                <w:b w:val="0"/>
                <w:sz w:val="16"/>
              </w:rPr>
            </w:pPr>
            <w:r w:rsidRPr="009D2FA2">
              <w:rPr>
                <w:b w:val="0"/>
                <w:sz w:val="16"/>
              </w:rPr>
              <w:t>Michael Haas – Area Sales Director Central Europe</w:t>
            </w:r>
          </w:p>
          <w:p w:rsidR="00C40587" w:rsidRPr="009D2FA2" w:rsidRDefault="00037D09" w:rsidP="007D632C">
            <w:pPr>
              <w:pStyle w:val="Textkrper"/>
              <w:tabs>
                <w:tab w:val="left" w:pos="7513"/>
              </w:tabs>
              <w:spacing w:line="312" w:lineRule="auto"/>
              <w:rPr>
                <w:b w:val="0"/>
                <w:sz w:val="16"/>
              </w:rPr>
            </w:pPr>
            <w:r w:rsidRPr="009D2FA2">
              <w:rPr>
                <w:b w:val="0"/>
                <w:sz w:val="16"/>
              </w:rPr>
              <w:t>Wendenstr. 379, 20537 Hamburg</w:t>
            </w:r>
          </w:p>
          <w:p w:rsidR="00C40587" w:rsidRPr="009D2FA2" w:rsidRDefault="00037D09" w:rsidP="007D632C">
            <w:pPr>
              <w:pStyle w:val="Textkrper"/>
              <w:tabs>
                <w:tab w:val="left" w:pos="7513"/>
              </w:tabs>
              <w:spacing w:line="312" w:lineRule="auto"/>
              <w:rPr>
                <w:b w:val="0"/>
                <w:sz w:val="16"/>
              </w:rPr>
            </w:pPr>
            <w:r w:rsidRPr="009D2FA2">
              <w:rPr>
                <w:b w:val="0"/>
                <w:sz w:val="16"/>
              </w:rPr>
              <w:t>Tel.: +49 170 7727415</w:t>
            </w:r>
          </w:p>
          <w:p w:rsidR="00C40587" w:rsidRPr="009D2FA2" w:rsidRDefault="00037D09" w:rsidP="007D632C">
            <w:pPr>
              <w:pStyle w:val="Textkrper"/>
              <w:tabs>
                <w:tab w:val="left" w:pos="7513"/>
              </w:tabs>
              <w:spacing w:line="312" w:lineRule="auto"/>
              <w:rPr>
                <w:b w:val="0"/>
                <w:sz w:val="16"/>
              </w:rPr>
            </w:pPr>
            <w:r w:rsidRPr="009D2FA2">
              <w:rPr>
                <w:b w:val="0"/>
                <w:sz w:val="16"/>
              </w:rPr>
              <w:t>michael.haas@watchguard.com</w:t>
            </w:r>
          </w:p>
          <w:p w:rsidR="00C40587" w:rsidRPr="009D2FA2" w:rsidRDefault="00037D09" w:rsidP="007D632C">
            <w:pPr>
              <w:pStyle w:val="Textkrper"/>
              <w:tabs>
                <w:tab w:val="left" w:pos="7513"/>
              </w:tabs>
              <w:spacing w:line="312" w:lineRule="auto"/>
              <w:rPr>
                <w:b w:val="0"/>
                <w:sz w:val="16"/>
              </w:rPr>
            </w:pPr>
            <w:r w:rsidRPr="009D2FA2">
              <w:rPr>
                <w:b w:val="0"/>
                <w:sz w:val="16"/>
              </w:rPr>
              <w:t>www.watchguard.de</w:t>
            </w:r>
          </w:p>
        </w:tc>
        <w:tc>
          <w:tcPr>
            <w:tcW w:w="4111" w:type="dxa"/>
          </w:tcPr>
          <w:p w:rsidR="00C40587" w:rsidRPr="009D2FA2" w:rsidRDefault="00037D09" w:rsidP="007D632C">
            <w:pPr>
              <w:pStyle w:val="Textkrper"/>
              <w:tabs>
                <w:tab w:val="left" w:pos="7513"/>
              </w:tabs>
              <w:spacing w:line="312" w:lineRule="auto"/>
              <w:ind w:right="426"/>
              <w:rPr>
                <w:bCs/>
                <w:sz w:val="16"/>
              </w:rPr>
            </w:pPr>
            <w:r w:rsidRPr="009D2FA2">
              <w:rPr>
                <w:bCs/>
                <w:sz w:val="16"/>
              </w:rPr>
              <w:t>Presse- und Öffentlichkeitsarbeit:</w:t>
            </w:r>
          </w:p>
          <w:p w:rsidR="00C40587" w:rsidRPr="00573F3A" w:rsidRDefault="00037D09" w:rsidP="007D632C">
            <w:pPr>
              <w:pStyle w:val="Textkrper"/>
              <w:tabs>
                <w:tab w:val="left" w:pos="7513"/>
              </w:tabs>
              <w:spacing w:line="312" w:lineRule="auto"/>
              <w:ind w:right="426"/>
              <w:rPr>
                <w:b w:val="0"/>
                <w:bCs/>
                <w:sz w:val="16"/>
              </w:rPr>
            </w:pPr>
            <w:r w:rsidRPr="00573F3A">
              <w:rPr>
                <w:b w:val="0"/>
                <w:bCs/>
                <w:sz w:val="16"/>
              </w:rPr>
              <w:t>Press'n'Relations GmbH</w:t>
            </w:r>
          </w:p>
          <w:p w:rsidR="00C40587" w:rsidRPr="00573F3A" w:rsidRDefault="00037D09" w:rsidP="007D632C">
            <w:pPr>
              <w:pStyle w:val="Textkrper"/>
              <w:tabs>
                <w:tab w:val="left" w:pos="7513"/>
              </w:tabs>
              <w:spacing w:line="312" w:lineRule="auto"/>
              <w:ind w:right="426"/>
              <w:rPr>
                <w:b w:val="0"/>
                <w:bCs/>
                <w:sz w:val="16"/>
              </w:rPr>
            </w:pPr>
            <w:r w:rsidRPr="00573F3A">
              <w:rPr>
                <w:b w:val="0"/>
                <w:bCs/>
                <w:sz w:val="16"/>
              </w:rPr>
              <w:t>Thomas Seibold</w:t>
            </w:r>
          </w:p>
          <w:p w:rsidR="00C40587" w:rsidRPr="00573F3A" w:rsidRDefault="00037D09" w:rsidP="007D632C">
            <w:pPr>
              <w:pStyle w:val="Textkrper"/>
              <w:tabs>
                <w:tab w:val="left" w:pos="7513"/>
              </w:tabs>
              <w:spacing w:line="312" w:lineRule="auto"/>
              <w:ind w:right="426"/>
              <w:rPr>
                <w:b w:val="0"/>
                <w:bCs/>
                <w:sz w:val="16"/>
              </w:rPr>
            </w:pPr>
            <w:r w:rsidRPr="00573F3A">
              <w:rPr>
                <w:b w:val="0"/>
                <w:bCs/>
                <w:sz w:val="16"/>
              </w:rPr>
              <w:t>Magirusstr. 33, 89077 Ulm</w:t>
            </w:r>
          </w:p>
          <w:p w:rsidR="00C40587" w:rsidRPr="00573F3A" w:rsidRDefault="00037D09" w:rsidP="007D632C">
            <w:pPr>
              <w:pStyle w:val="Textkrper"/>
              <w:tabs>
                <w:tab w:val="left" w:pos="7513"/>
              </w:tabs>
              <w:spacing w:line="312" w:lineRule="auto"/>
              <w:ind w:right="426"/>
              <w:rPr>
                <w:b w:val="0"/>
                <w:bCs/>
                <w:sz w:val="16"/>
              </w:rPr>
            </w:pPr>
            <w:r w:rsidRPr="00573F3A">
              <w:rPr>
                <w:b w:val="0"/>
                <w:bCs/>
                <w:sz w:val="16"/>
              </w:rPr>
              <w:t>Tel</w:t>
            </w:r>
            <w:r w:rsidRPr="00573F3A">
              <w:rPr>
                <w:b w:val="0"/>
                <w:bCs/>
                <w:sz w:val="16"/>
              </w:rPr>
              <w:t xml:space="preserve">.: +49 731 962 87 19 </w:t>
            </w:r>
          </w:p>
          <w:p w:rsidR="00C40587" w:rsidRPr="00573F3A" w:rsidRDefault="00037D09" w:rsidP="007D632C">
            <w:pPr>
              <w:pStyle w:val="Textkrper"/>
              <w:tabs>
                <w:tab w:val="left" w:pos="7513"/>
              </w:tabs>
              <w:spacing w:line="312" w:lineRule="auto"/>
              <w:ind w:right="426"/>
              <w:rPr>
                <w:b w:val="0"/>
                <w:bCs/>
                <w:sz w:val="16"/>
              </w:rPr>
            </w:pPr>
            <w:r w:rsidRPr="00573F3A">
              <w:rPr>
                <w:b w:val="0"/>
                <w:bCs/>
                <w:sz w:val="16"/>
              </w:rPr>
              <w:t>Fax: +49 731 962 87 97</w:t>
            </w:r>
          </w:p>
          <w:p w:rsidR="00C40587" w:rsidRPr="00573F3A" w:rsidRDefault="00037D09" w:rsidP="007D632C">
            <w:pPr>
              <w:pStyle w:val="Textkrper"/>
              <w:tabs>
                <w:tab w:val="left" w:pos="7513"/>
              </w:tabs>
              <w:spacing w:line="312" w:lineRule="auto"/>
              <w:ind w:right="426"/>
              <w:rPr>
                <w:b w:val="0"/>
                <w:bCs/>
                <w:sz w:val="16"/>
              </w:rPr>
            </w:pPr>
            <w:r w:rsidRPr="00573F3A">
              <w:rPr>
                <w:b w:val="0"/>
                <w:bCs/>
                <w:sz w:val="16"/>
              </w:rPr>
              <w:t>ts@press-n-relations.de</w:t>
            </w:r>
          </w:p>
          <w:p w:rsidR="00C40587" w:rsidRPr="009D2FA2" w:rsidRDefault="00037D09" w:rsidP="007D632C">
            <w:pPr>
              <w:pStyle w:val="Textkrper"/>
              <w:tabs>
                <w:tab w:val="left" w:pos="7513"/>
              </w:tabs>
              <w:spacing w:line="312" w:lineRule="auto"/>
              <w:ind w:right="426"/>
              <w:rPr>
                <w:b w:val="0"/>
                <w:bCs/>
                <w:sz w:val="16"/>
              </w:rPr>
            </w:pPr>
            <w:r w:rsidRPr="00573F3A">
              <w:rPr>
                <w:b w:val="0"/>
                <w:bCs/>
                <w:sz w:val="16"/>
              </w:rPr>
              <w:t>www.press-n-relations.de</w:t>
            </w:r>
          </w:p>
        </w:tc>
      </w:tr>
    </w:tbl>
    <w:p w:rsidR="00C40587" w:rsidRPr="009D2FA2" w:rsidRDefault="00037D09" w:rsidP="00C40587">
      <w:pPr>
        <w:tabs>
          <w:tab w:val="left" w:pos="8647"/>
        </w:tabs>
        <w:ind w:right="419"/>
        <w:rPr>
          <w:rFonts w:ascii="Helvetica" w:hAnsi="Helvetica"/>
          <w:sz w:val="18"/>
          <w:szCs w:val="20"/>
        </w:rPr>
      </w:pPr>
    </w:p>
    <w:p w:rsidR="00C40587" w:rsidRPr="009D2FA2" w:rsidRDefault="00037D09" w:rsidP="00C40587">
      <w:pPr>
        <w:tabs>
          <w:tab w:val="left" w:pos="8647"/>
        </w:tabs>
        <w:ind w:right="419"/>
        <w:rPr>
          <w:rFonts w:ascii="Helvetica" w:hAnsi="Helvetica"/>
          <w:sz w:val="18"/>
          <w:szCs w:val="20"/>
        </w:rPr>
      </w:pPr>
      <w:r w:rsidRPr="009D2FA2">
        <w:rPr>
          <w:rFonts w:ascii="Helvetica" w:hAnsi="Helvetica"/>
          <w:b/>
          <w:sz w:val="18"/>
          <w:szCs w:val="20"/>
        </w:rPr>
        <w:t>Über WatchGuard Technologies</w:t>
      </w:r>
    </w:p>
    <w:p w:rsidR="00C40587" w:rsidRPr="009D2FA2" w:rsidRDefault="00037D09" w:rsidP="00C40587">
      <w:pPr>
        <w:tabs>
          <w:tab w:val="left" w:pos="8364"/>
          <w:tab w:val="left" w:pos="8505"/>
        </w:tabs>
        <w:ind w:right="561"/>
        <w:rPr>
          <w:rFonts w:ascii="Helvetica" w:hAnsi="Helvetica"/>
          <w:sz w:val="18"/>
          <w:szCs w:val="20"/>
        </w:rPr>
      </w:pPr>
      <w:r w:rsidRPr="009D2FA2">
        <w:rPr>
          <w:rFonts w:ascii="Helvetica" w:hAnsi="Helvetica"/>
          <w:sz w:val="18"/>
          <w:szCs w:val="20"/>
        </w:rPr>
        <w:t xml:space="preserve">WatchGuard Technologies bietet integrierte und multifunktionale Threat-Management-Lösungen, die Standard-Hardware auf Basis von </w:t>
      </w:r>
      <w:r w:rsidRPr="009D2FA2">
        <w:rPr>
          <w:rFonts w:ascii="Helvetica" w:hAnsi="Helvetica"/>
          <w:sz w:val="18"/>
          <w:szCs w:val="20"/>
        </w:rPr>
        <w:t>Intel- und Freescale-Prozessoren mit erstklassigen Sicherheitsfunktionen sowie intuitiven Management-Werkzeugen gezielt miteinander vereinen. Die modulare Architektur mit dem eigenen Betriebssystem Fireware ermöglicht in Verbindung mit Vollversionen marktf</w:t>
      </w:r>
      <w:r w:rsidRPr="009D2FA2">
        <w:rPr>
          <w:rFonts w:ascii="Helvetica" w:hAnsi="Helvetica"/>
          <w:sz w:val="18"/>
          <w:szCs w:val="20"/>
        </w:rPr>
        <w:t>ührender Scanmodule von Drittanbietern Sicherheit der Spitzenklasse – in jeder Preiskategorie, bei maximaler Flexibilität und geringen Kosten.</w:t>
      </w:r>
    </w:p>
    <w:p w:rsidR="00C40587" w:rsidRPr="009D2FA2" w:rsidRDefault="00037D09" w:rsidP="00C40587">
      <w:pPr>
        <w:tabs>
          <w:tab w:val="left" w:pos="8364"/>
          <w:tab w:val="left" w:pos="8505"/>
        </w:tabs>
        <w:ind w:right="561"/>
        <w:rPr>
          <w:rFonts w:ascii="Helvetica" w:hAnsi="Helvetica"/>
          <w:sz w:val="18"/>
          <w:szCs w:val="20"/>
        </w:rPr>
      </w:pPr>
    </w:p>
    <w:p w:rsidR="00C40587" w:rsidRDefault="00037D09" w:rsidP="00C40587">
      <w:pPr>
        <w:tabs>
          <w:tab w:val="left" w:pos="8364"/>
          <w:tab w:val="left" w:pos="8505"/>
        </w:tabs>
        <w:ind w:right="561"/>
        <w:rPr>
          <w:rFonts w:ascii="Helvetica" w:hAnsi="Helvetica"/>
          <w:sz w:val="18"/>
          <w:szCs w:val="20"/>
        </w:rPr>
      </w:pPr>
      <w:r w:rsidRPr="009D2FA2">
        <w:rPr>
          <w:rFonts w:ascii="Helvetica" w:hAnsi="Helvetica"/>
          <w:sz w:val="18"/>
          <w:szCs w:val="20"/>
        </w:rPr>
        <w:t>Neben der Zentrale in Seattle im US-Bundesstaat Washington verfügt WatchGuard über Niederlassungen in ganz Norda</w:t>
      </w:r>
      <w:r w:rsidRPr="009D2FA2">
        <w:rPr>
          <w:rFonts w:ascii="Helvetica" w:hAnsi="Helvetica"/>
          <w:sz w:val="18"/>
          <w:szCs w:val="20"/>
        </w:rPr>
        <w:t>merika</w:t>
      </w:r>
      <w:proofErr w:type="gramStart"/>
      <w:r w:rsidRPr="009D2FA2">
        <w:rPr>
          <w:rFonts w:ascii="Helvetica" w:hAnsi="Helvetica"/>
          <w:sz w:val="18"/>
          <w:szCs w:val="20"/>
        </w:rPr>
        <w:t>, Lateinamerika</w:t>
      </w:r>
      <w:proofErr w:type="gramEnd"/>
      <w:r w:rsidRPr="009D2FA2">
        <w:rPr>
          <w:rFonts w:ascii="Helvetica" w:hAnsi="Helvetica"/>
          <w:sz w:val="18"/>
          <w:szCs w:val="20"/>
        </w:rPr>
        <w:t xml:space="preserve"> und Europa sowie im asiatisch-pazifischen Raum. Die gesamte Produktlinie der Network Security Appliances von WatchGuard stützt sich auf ein Netz von mehr als 10.000 speziellen Vertriebspartnern – davon über 2.300 mit einer erweiterten</w:t>
      </w:r>
      <w:r w:rsidRPr="009D2FA2">
        <w:rPr>
          <w:rFonts w:ascii="Helvetica" w:hAnsi="Helvetica"/>
          <w:sz w:val="18"/>
          <w:szCs w:val="20"/>
        </w:rPr>
        <w:t xml:space="preserve"> Zertifizierung – in 120 Ländern. Insgesamt wurden bislang nahezu eine Million integrierter multifunktionaler Threat Management Appliances an Firmen aller Größen bereitgestellt – von KMU bis zu Konzernen mit weit verteilten Standorten. Weitere Informatione</w:t>
      </w:r>
      <w:r w:rsidRPr="009D2FA2">
        <w:rPr>
          <w:rFonts w:ascii="Helvetica" w:hAnsi="Helvetica"/>
          <w:sz w:val="18"/>
          <w:szCs w:val="20"/>
        </w:rPr>
        <w:t xml:space="preserve">n unter </w:t>
      </w:r>
      <w:hyperlink r:id="rId8" w:history="1">
        <w:r w:rsidRPr="009D2FA2">
          <w:rPr>
            <w:rStyle w:val="Link"/>
            <w:rFonts w:ascii="Helvetica" w:hAnsi="Helvetica"/>
            <w:sz w:val="18"/>
            <w:szCs w:val="20"/>
          </w:rPr>
          <w:t>www.watchguard.com</w:t>
        </w:r>
      </w:hyperlink>
      <w:r w:rsidRPr="009D2FA2">
        <w:rPr>
          <w:rFonts w:ascii="Helvetica" w:hAnsi="Helvetica"/>
          <w:sz w:val="18"/>
          <w:szCs w:val="20"/>
        </w:rPr>
        <w:t>.</w:t>
      </w:r>
    </w:p>
    <w:p w:rsidR="00C40587" w:rsidRDefault="00037D09" w:rsidP="00C40587">
      <w:pPr>
        <w:tabs>
          <w:tab w:val="left" w:pos="8364"/>
          <w:tab w:val="left" w:pos="8505"/>
        </w:tabs>
        <w:ind w:right="561"/>
        <w:rPr>
          <w:rFonts w:ascii="Helvetica" w:hAnsi="Helvetica"/>
          <w:sz w:val="18"/>
          <w:szCs w:val="20"/>
        </w:rPr>
      </w:pPr>
    </w:p>
    <w:p w:rsidR="00C40587" w:rsidRDefault="00037D09" w:rsidP="00C40587"/>
    <w:p w:rsidR="007D632C" w:rsidRDefault="00037D09"/>
    <w:sectPr w:rsidR="007D632C" w:rsidSect="007D632C">
      <w:headerReference w:type="default" r:id="rId9"/>
      <w:footerReference w:type="even" r:id="rId10"/>
      <w:footerReference w:type="default" r:id="rId11"/>
      <w:pgSz w:w="11900" w:h="16840"/>
      <w:pgMar w:top="1417" w:right="1410" w:bottom="99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Helvetica">
    <w:panose1 w:val="00000000000000000000"/>
    <w:charset w:val="00"/>
    <w:family w:val="auto"/>
    <w:pitch w:val="variable"/>
    <w:sig w:usb0="00000003" w:usb1="00000000" w:usb2="00000000" w:usb3="00000000" w:csb0="00000001" w:csb1="00000000"/>
  </w:font>
  <w:font w:name="SimSun">
    <w:altName w:val="宋体"/>
    <w:panose1 w:val="00000000000000000000"/>
    <w:charset w:val="86"/>
    <w:family w:val="auto"/>
    <w:notTrueType/>
    <w:pitch w:val="variable"/>
    <w:sig w:usb0="00000001" w:usb1="080E0000" w:usb2="00000010" w:usb3="00000000" w:csb0="00040000" w:csb1="00000000"/>
  </w:font>
  <w:font w:name="Lucida Grande">
    <w:panose1 w:val="05000000000000000000"/>
    <w:charset w:val="00"/>
    <w:family w:val="auto"/>
    <w:pitch w:val="variable"/>
    <w:sig w:usb0="E1000AEF" w:usb1="5000A1FF" w:usb2="00000000" w:usb3="00000000" w:csb0="000001BF"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Apple Chancery">
    <w:panose1 w:val="03020702040506060504"/>
    <w:charset w:val="00"/>
    <w:family w:val="auto"/>
    <w:pitch w:val="variable"/>
    <w:sig w:usb0="80000067" w:usb1="00000003" w:usb2="00000000" w:usb3="00000000" w:csb0="000001F3"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01E" w:rsidRDefault="005178DE" w:rsidP="007D632C">
    <w:pPr>
      <w:pStyle w:val="Fuzeile"/>
      <w:framePr w:wrap="around" w:vAnchor="text" w:hAnchor="margin" w:xAlign="right" w:y="1"/>
      <w:rPr>
        <w:rStyle w:val="Seitenzahl"/>
      </w:rPr>
    </w:pPr>
    <w:r>
      <w:rPr>
        <w:rStyle w:val="Seitenzahl"/>
      </w:rPr>
      <w:fldChar w:fldCharType="begin"/>
    </w:r>
    <w:r w:rsidR="00037D09">
      <w:rPr>
        <w:rStyle w:val="Seitenzahl"/>
      </w:rPr>
      <w:instrText xml:space="preserve">PAGE  </w:instrText>
    </w:r>
    <w:r>
      <w:rPr>
        <w:rStyle w:val="Seitenzahl"/>
      </w:rPr>
      <w:fldChar w:fldCharType="end"/>
    </w:r>
  </w:p>
  <w:p w:rsidR="0072101E" w:rsidRDefault="00037D09" w:rsidP="007D632C">
    <w:pPr>
      <w:pStyle w:val="Fuzeil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01E" w:rsidRDefault="005178DE" w:rsidP="007D632C">
    <w:pPr>
      <w:pStyle w:val="Fuzeile"/>
      <w:framePr w:wrap="around" w:vAnchor="text" w:hAnchor="margin" w:xAlign="right" w:y="1"/>
      <w:rPr>
        <w:rStyle w:val="Seitenzahl"/>
      </w:rPr>
    </w:pPr>
    <w:r>
      <w:rPr>
        <w:rStyle w:val="Seitenzahl"/>
      </w:rPr>
      <w:fldChar w:fldCharType="begin"/>
    </w:r>
    <w:r w:rsidR="00037D09">
      <w:rPr>
        <w:rStyle w:val="Seitenzahl"/>
      </w:rPr>
      <w:instrText xml:space="preserve">PAGE  </w:instrText>
    </w:r>
    <w:r>
      <w:rPr>
        <w:rStyle w:val="Seitenzahl"/>
      </w:rPr>
      <w:fldChar w:fldCharType="separate"/>
    </w:r>
    <w:r w:rsidR="00037D09">
      <w:rPr>
        <w:rStyle w:val="Seitenzahl"/>
        <w:noProof/>
      </w:rPr>
      <w:t>2</w:t>
    </w:r>
    <w:r>
      <w:rPr>
        <w:rStyle w:val="Seitenzahl"/>
      </w:rPr>
      <w:fldChar w:fldCharType="end"/>
    </w:r>
  </w:p>
  <w:p w:rsidR="0072101E" w:rsidRDefault="00037D09" w:rsidP="007D632C">
    <w:pPr>
      <w:pStyle w:val="Fuzeile"/>
      <w:ind w:right="360"/>
    </w:pP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01E" w:rsidRPr="00B674DF" w:rsidRDefault="00037D09">
    <w:pPr>
      <w:pStyle w:val="Kopfzeile"/>
      <w:rPr>
        <w:sz w:val="32"/>
        <w:szCs w:val="32"/>
      </w:rPr>
    </w:pPr>
    <w:r>
      <w:rPr>
        <w:noProof/>
        <w:sz w:val="32"/>
        <w:szCs w:val="32"/>
        <w:lang w:eastAsia="de-DE"/>
      </w:rPr>
      <w:drawing>
        <wp:anchor distT="0" distB="0" distL="114300" distR="114300" simplePos="0" relativeHeight="251659264" behindDoc="0" locked="0" layoutInCell="1" allowOverlap="1">
          <wp:simplePos x="0" y="0"/>
          <wp:positionH relativeFrom="column">
            <wp:posOffset>4000500</wp:posOffset>
          </wp:positionH>
          <wp:positionV relativeFrom="paragraph">
            <wp:posOffset>76200</wp:posOffset>
          </wp:positionV>
          <wp:extent cx="2286000" cy="654685"/>
          <wp:effectExtent l="25400" t="0" r="0" b="0"/>
          <wp:wrapThrough wrapText="bothSides">
            <wp:wrapPolygon edited="0">
              <wp:start x="7200" y="0"/>
              <wp:lineTo x="2160" y="0"/>
              <wp:lineTo x="-240" y="4190"/>
              <wp:lineTo x="-240" y="15084"/>
              <wp:lineTo x="1440" y="20951"/>
              <wp:lineTo x="1920" y="20951"/>
              <wp:lineTo x="3600" y="20951"/>
              <wp:lineTo x="6720" y="20951"/>
              <wp:lineTo x="21360" y="15084"/>
              <wp:lineTo x="21360" y="13408"/>
              <wp:lineTo x="21600" y="5866"/>
              <wp:lineTo x="8880" y="0"/>
              <wp:lineTo x="7200" y="0"/>
            </wp:wrapPolygon>
          </wp:wrapThrough>
          <wp:docPr id="8" name="Picture 1" descr="wgrd_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grd_logo_clr"/>
                  <pic:cNvPicPr>
                    <a:picLocks noChangeAspect="1" noChangeArrowheads="1"/>
                  </pic:cNvPicPr>
                </pic:nvPicPr>
                <pic:blipFill>
                  <a:blip r:embed="rId1"/>
                  <a:srcRect/>
                  <a:stretch>
                    <a:fillRect/>
                  </a:stretch>
                </pic:blipFill>
                <pic:spPr bwMode="auto">
                  <a:xfrm>
                    <a:off x="0" y="0"/>
                    <a:ext cx="2286000" cy="654685"/>
                  </a:xfrm>
                  <a:prstGeom prst="rect">
                    <a:avLst/>
                  </a:prstGeom>
                  <a:noFill/>
                  <a:ln w="9525">
                    <a:noFill/>
                    <a:miter lim="800000"/>
                    <a:headEnd/>
                    <a:tailEnd/>
                  </a:ln>
                </pic:spPr>
              </pic:pic>
            </a:graphicData>
          </a:graphic>
        </wp:anchor>
      </w:drawing>
    </w:r>
  </w:p>
  <w:p w:rsidR="0072101E" w:rsidRPr="00B674DF" w:rsidRDefault="00037D09">
    <w:pPr>
      <w:pStyle w:val="Kopfzeile"/>
      <w:rPr>
        <w:sz w:val="32"/>
        <w:szCs w:val="32"/>
      </w:rPr>
    </w:pPr>
  </w:p>
  <w:p w:rsidR="0072101E" w:rsidRPr="00B674DF" w:rsidRDefault="00037D09">
    <w:pPr>
      <w:pStyle w:val="Kopfzeile"/>
      <w:rPr>
        <w:sz w:val="32"/>
        <w:szCs w:val="32"/>
      </w:rPr>
    </w:pPr>
  </w:p>
  <w:p w:rsidR="0072101E" w:rsidRPr="00B674DF" w:rsidRDefault="00037D09">
    <w:pPr>
      <w:pStyle w:val="Kopfzeile"/>
      <w:rPr>
        <w:sz w:val="32"/>
        <w:szCs w:val="32"/>
      </w:rP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7628E"/>
    <w:multiLevelType w:val="hybridMultilevel"/>
    <w:tmpl w:val="7AB4C438"/>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nsid w:val="283F39F6"/>
    <w:multiLevelType w:val="hybridMultilevel"/>
    <w:tmpl w:val="1D547670"/>
    <w:lvl w:ilvl="0" w:tplc="2A8A728E">
      <w:start w:val="1"/>
      <w:numFmt w:val="bullet"/>
      <w:lvlText w:val=""/>
      <w:lvlJc w:val="left"/>
      <w:pPr>
        <w:ind w:left="1146"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D92441D"/>
    <w:multiLevelType w:val="hybridMultilevel"/>
    <w:tmpl w:val="6254CA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64E32922"/>
    <w:multiLevelType w:val="hybridMultilevel"/>
    <w:tmpl w:val="711474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Symbo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Symbol" w:hint="default"/>
      </w:rPr>
    </w:lvl>
    <w:lvl w:ilvl="8" w:tplc="04090005">
      <w:start w:val="1"/>
      <w:numFmt w:val="bullet"/>
      <w:lvlText w:val=""/>
      <w:lvlJc w:val="left"/>
      <w:pPr>
        <w:ind w:left="6480" w:hanging="360"/>
      </w:pPr>
      <w:rPr>
        <w:rFonts w:ascii="Wingdings" w:hAnsi="Wingdings" w:hint="default"/>
      </w:rPr>
    </w:lvl>
  </w:abstractNum>
  <w:abstractNum w:abstractNumId="4">
    <w:nsid w:val="72A865CF"/>
    <w:multiLevelType w:val="hybridMultilevel"/>
    <w:tmpl w:val="152EEDEE"/>
    <w:lvl w:ilvl="0" w:tplc="2A8A728E">
      <w:start w:val="1"/>
      <w:numFmt w:val="bullet"/>
      <w:lvlText w:val=""/>
      <w:lvlJc w:val="left"/>
      <w:pPr>
        <w:ind w:left="1146"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76700861"/>
    <w:multiLevelType w:val="hybridMultilevel"/>
    <w:tmpl w:val="41ACA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A560629"/>
    <w:multiLevelType w:val="hybridMultilevel"/>
    <w:tmpl w:val="F3C67D72"/>
    <w:lvl w:ilvl="0" w:tplc="12B29D94">
      <w:numFmt w:val="bullet"/>
      <w:lvlText w:val="-"/>
      <w:lvlJc w:val="left"/>
      <w:pPr>
        <w:ind w:left="786" w:hanging="360"/>
      </w:pPr>
      <w:rPr>
        <w:rFonts w:ascii="Cambria" w:eastAsiaTheme="minorHAnsi" w:hAnsi="Cambria"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
  </w:num>
  <w:num w:numId="4">
    <w:abstractNumId w:val="5"/>
  </w:num>
  <w:num w:numId="5">
    <w:abstractNumId w:val="1"/>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grammar="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C428F6"/>
    <w:rsid w:val="00037D09"/>
    <w:rsid w:val="005178DE"/>
    <w:rsid w:val="00C428F6"/>
  </w:rsids>
  <m:mathPr>
    <m:mathFont m:val="MS Gothic"/>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276"/>
  <w:style w:type="paragraph" w:default="1" w:styleId="Standard">
    <w:name w:val="Normal"/>
    <w:qFormat/>
    <w:rsid w:val="00C428F6"/>
    <w:rPr>
      <w:rFonts w:ascii="Cambria" w:eastAsia="MS Mincho" w:hAnsi="Cambria" w:cs="Times New Roman"/>
      <w:lang w:eastAsia="de-DE"/>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KopfzeileZeichen">
    <w:name w:val="Kopfzeile Zeichen"/>
    <w:link w:val="Kopfzeile"/>
    <w:rsid w:val="00C428F6"/>
    <w:rPr>
      <w:rFonts w:ascii="Cambria" w:eastAsia="MS Mincho" w:hAnsi="Cambria" w:cs="Times New Roman"/>
      <w:sz w:val="20"/>
      <w:szCs w:val="20"/>
    </w:rPr>
  </w:style>
  <w:style w:type="paragraph" w:styleId="Kopfzeile">
    <w:name w:val="header"/>
    <w:basedOn w:val="Standard"/>
    <w:link w:val="KopfzeileZeichen"/>
    <w:unhideWhenUsed/>
    <w:rsid w:val="00C428F6"/>
    <w:pPr>
      <w:tabs>
        <w:tab w:val="center" w:pos="4536"/>
        <w:tab w:val="right" w:pos="9072"/>
      </w:tabs>
    </w:pPr>
    <w:rPr>
      <w:sz w:val="20"/>
      <w:szCs w:val="20"/>
      <w:lang w:eastAsia="en-US"/>
    </w:rPr>
  </w:style>
  <w:style w:type="character" w:customStyle="1" w:styleId="KopfzeileZeichen1">
    <w:name w:val="Kopfzeile Zeichen1"/>
    <w:basedOn w:val="Absatzstandardschriftart"/>
    <w:link w:val="Kopfzeile"/>
    <w:uiPriority w:val="99"/>
    <w:semiHidden/>
    <w:rsid w:val="00C428F6"/>
    <w:rPr>
      <w:rFonts w:ascii="Cambria" w:eastAsia="MS Mincho" w:hAnsi="Cambria" w:cs="Times New Roman"/>
      <w:lang w:eastAsia="de-DE"/>
    </w:rPr>
  </w:style>
  <w:style w:type="character" w:customStyle="1" w:styleId="TextkrperZeichen">
    <w:name w:val="Textkörper Zeichen"/>
    <w:link w:val="Textkrper"/>
    <w:rsid w:val="00C428F6"/>
    <w:rPr>
      <w:rFonts w:ascii="Helvetica" w:eastAsia="SimSun" w:hAnsi="Helvetica" w:cs="Times New Roman"/>
      <w:b/>
      <w:sz w:val="22"/>
      <w:szCs w:val="22"/>
    </w:rPr>
  </w:style>
  <w:style w:type="paragraph" w:styleId="Textkrper">
    <w:name w:val="Body Text"/>
    <w:basedOn w:val="Standard"/>
    <w:link w:val="TextkrperZeichen"/>
    <w:rsid w:val="00C428F6"/>
    <w:rPr>
      <w:rFonts w:ascii="Helvetica" w:eastAsia="SimSun" w:hAnsi="Helvetica"/>
      <w:b/>
      <w:sz w:val="22"/>
      <w:szCs w:val="22"/>
      <w:lang w:eastAsia="en-US"/>
    </w:rPr>
  </w:style>
  <w:style w:type="character" w:customStyle="1" w:styleId="TextkrperZeichen1">
    <w:name w:val="Textkörper Zeichen1"/>
    <w:basedOn w:val="Absatzstandardschriftart"/>
    <w:link w:val="Textkrper"/>
    <w:uiPriority w:val="99"/>
    <w:semiHidden/>
    <w:rsid w:val="00C428F6"/>
    <w:rPr>
      <w:rFonts w:ascii="Cambria" w:eastAsia="MS Mincho" w:hAnsi="Cambria" w:cs="Times New Roman"/>
      <w:lang w:eastAsia="de-DE"/>
    </w:rPr>
  </w:style>
  <w:style w:type="character" w:styleId="Link">
    <w:name w:val="Hyperlink"/>
    <w:basedOn w:val="Absatzstandardschriftart"/>
    <w:uiPriority w:val="99"/>
    <w:unhideWhenUsed/>
    <w:rsid w:val="00C428F6"/>
    <w:rPr>
      <w:color w:val="0000FF" w:themeColor="hyperlink"/>
      <w:u w:val="single"/>
    </w:rPr>
  </w:style>
  <w:style w:type="paragraph" w:styleId="Kommentartext">
    <w:name w:val="annotation text"/>
    <w:basedOn w:val="Standard"/>
    <w:link w:val="KommentartextZeichen"/>
    <w:uiPriority w:val="99"/>
    <w:semiHidden/>
    <w:unhideWhenUsed/>
    <w:rsid w:val="00C428F6"/>
  </w:style>
  <w:style w:type="character" w:customStyle="1" w:styleId="KommentartextZeichen">
    <w:name w:val="Kommentartext Zeichen"/>
    <w:basedOn w:val="Absatzstandardschriftart"/>
    <w:link w:val="Kommentartext"/>
    <w:uiPriority w:val="99"/>
    <w:semiHidden/>
    <w:rsid w:val="00C428F6"/>
    <w:rPr>
      <w:rFonts w:ascii="Cambria" w:eastAsia="MS Mincho" w:hAnsi="Cambria" w:cs="Times New Roman"/>
      <w:lang w:eastAsia="de-DE"/>
    </w:rPr>
  </w:style>
  <w:style w:type="paragraph" w:styleId="Sprechblasentext">
    <w:name w:val="Balloon Text"/>
    <w:basedOn w:val="Standard"/>
    <w:link w:val="SprechblasentextZeichen"/>
    <w:uiPriority w:val="99"/>
    <w:semiHidden/>
    <w:unhideWhenUsed/>
    <w:rsid w:val="00C428F6"/>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C428F6"/>
    <w:rPr>
      <w:rFonts w:ascii="Lucida Grande" w:eastAsia="MS Mincho" w:hAnsi="Lucida Grande" w:cs="Lucida Grande"/>
      <w:sz w:val="18"/>
      <w:szCs w:val="18"/>
      <w:lang w:eastAsia="de-DE"/>
    </w:rPr>
  </w:style>
  <w:style w:type="paragraph" w:styleId="Kommentarthema">
    <w:name w:val="annotation subject"/>
    <w:basedOn w:val="Kommentartext"/>
    <w:next w:val="Kommentartext"/>
    <w:link w:val="KommentarthemaZeichen"/>
    <w:rsid w:val="00C428F6"/>
    <w:rPr>
      <w:b/>
      <w:bCs/>
      <w:sz w:val="20"/>
      <w:szCs w:val="20"/>
    </w:rPr>
  </w:style>
  <w:style w:type="character" w:customStyle="1" w:styleId="KommentarthemaZeichen">
    <w:name w:val="Kommentarthema Zeichen"/>
    <w:basedOn w:val="KommentartextZeichen"/>
    <w:link w:val="Kommentarthema"/>
    <w:rsid w:val="00C428F6"/>
    <w:rPr>
      <w:b/>
      <w:bCs/>
      <w:sz w:val="20"/>
      <w:szCs w:val="20"/>
    </w:rPr>
  </w:style>
  <w:style w:type="paragraph" w:styleId="Listenabsatz">
    <w:name w:val="List Paragraph"/>
    <w:basedOn w:val="Standard"/>
    <w:uiPriority w:val="34"/>
    <w:qFormat/>
    <w:rsid w:val="00C428F6"/>
    <w:pPr>
      <w:ind w:left="720"/>
      <w:contextualSpacing/>
    </w:pPr>
  </w:style>
  <w:style w:type="paragraph" w:styleId="Endnotentext">
    <w:name w:val="endnote text"/>
    <w:basedOn w:val="Standard"/>
    <w:link w:val="EndnotentextZeichen"/>
    <w:uiPriority w:val="99"/>
    <w:unhideWhenUsed/>
    <w:rsid w:val="00C428F6"/>
    <w:rPr>
      <w:rFonts w:asciiTheme="minorHAnsi" w:eastAsiaTheme="minorEastAsia" w:hAnsiTheme="minorHAnsi" w:cstheme="minorBidi"/>
      <w:lang w:val="en-US" w:eastAsia="en-US"/>
    </w:rPr>
  </w:style>
  <w:style w:type="character" w:customStyle="1" w:styleId="EndnotentextZeichen">
    <w:name w:val="Endnotentext Zeichen"/>
    <w:basedOn w:val="Absatzstandardschriftart"/>
    <w:link w:val="Endnotentext"/>
    <w:uiPriority w:val="99"/>
    <w:rsid w:val="00C428F6"/>
    <w:rPr>
      <w:rFonts w:eastAsiaTheme="minorEastAsia"/>
      <w:lang w:val="en-US"/>
    </w:rPr>
  </w:style>
  <w:style w:type="character" w:styleId="Endnotenzeichen">
    <w:name w:val="endnote reference"/>
    <w:basedOn w:val="Absatzstandardschriftart"/>
    <w:uiPriority w:val="99"/>
    <w:unhideWhenUsed/>
    <w:rsid w:val="00C428F6"/>
    <w:rPr>
      <w:vertAlign w:val="superscript"/>
    </w:rPr>
  </w:style>
  <w:style w:type="character" w:styleId="GesichteterLink">
    <w:name w:val="FollowedHyperlink"/>
    <w:basedOn w:val="Absatzstandardschriftart"/>
    <w:uiPriority w:val="99"/>
    <w:unhideWhenUsed/>
    <w:rsid w:val="00C428F6"/>
    <w:rPr>
      <w:color w:val="800080" w:themeColor="followedHyperlink"/>
      <w:u w:val="single"/>
    </w:rPr>
  </w:style>
  <w:style w:type="paragraph" w:styleId="Fuzeile">
    <w:name w:val="footer"/>
    <w:basedOn w:val="Standard"/>
    <w:link w:val="FuzeileZeichen"/>
    <w:uiPriority w:val="99"/>
    <w:unhideWhenUsed/>
    <w:rsid w:val="00C428F6"/>
    <w:pPr>
      <w:tabs>
        <w:tab w:val="center" w:pos="4536"/>
        <w:tab w:val="right" w:pos="9072"/>
      </w:tabs>
    </w:pPr>
  </w:style>
  <w:style w:type="character" w:customStyle="1" w:styleId="FuzeileZeichen">
    <w:name w:val="Fußzeile Zeichen"/>
    <w:basedOn w:val="Absatzstandardschriftart"/>
    <w:link w:val="Fuzeile"/>
    <w:uiPriority w:val="99"/>
    <w:rsid w:val="00C428F6"/>
    <w:rPr>
      <w:rFonts w:ascii="Cambria" w:eastAsia="MS Mincho" w:hAnsi="Cambria" w:cs="Times New Roman"/>
      <w:lang w:eastAsia="de-DE"/>
    </w:rPr>
  </w:style>
  <w:style w:type="paragraph" w:styleId="Funotentext">
    <w:name w:val="footnote text"/>
    <w:basedOn w:val="Standard"/>
    <w:link w:val="FunotentextZeichen"/>
    <w:rsid w:val="00C428F6"/>
  </w:style>
  <w:style w:type="character" w:customStyle="1" w:styleId="FunotentextZeichen">
    <w:name w:val="Fußnotentext Zeichen"/>
    <w:basedOn w:val="Absatzstandardschriftart"/>
    <w:link w:val="Funotentext"/>
    <w:rsid w:val="00C428F6"/>
    <w:rPr>
      <w:rFonts w:ascii="Cambria" w:eastAsia="MS Mincho" w:hAnsi="Cambria" w:cs="Times New Roman"/>
      <w:lang w:eastAsia="de-DE"/>
    </w:rPr>
  </w:style>
  <w:style w:type="character" w:styleId="Funotenzeichen">
    <w:name w:val="footnote reference"/>
    <w:basedOn w:val="Absatzstandardschriftart"/>
    <w:rsid w:val="00C428F6"/>
    <w:rPr>
      <w:vertAlign w:val="superscript"/>
    </w:rPr>
  </w:style>
  <w:style w:type="paragraph" w:styleId="KeinLeerraum">
    <w:name w:val="No Spacing"/>
    <w:uiPriority w:val="1"/>
    <w:qFormat/>
    <w:rsid w:val="00C428F6"/>
    <w:rPr>
      <w:rFonts w:ascii="Calibri" w:hAnsi="Calibri" w:cs="Times New Roman"/>
      <w:sz w:val="22"/>
      <w:szCs w:val="22"/>
      <w:lang w:val="en-US"/>
    </w:rPr>
  </w:style>
  <w:style w:type="character" w:styleId="Seitenzahl">
    <w:name w:val="page number"/>
    <w:basedOn w:val="Absatzstandardschriftart"/>
    <w:rsid w:val="00C428F6"/>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hyperlink" Target="http://www.watchguard.com"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745</Words>
  <Characters>4248</Characters>
  <Application>Microsoft Macintosh Word</Application>
  <DocSecurity>0</DocSecurity>
  <Lines>35</Lines>
  <Paragraphs>8</Paragraphs>
  <ScaleCrop>false</ScaleCrop>
  <Company>Press'n'Relations </Company>
  <LinksUpToDate>false</LinksUpToDate>
  <CharactersWithSpaces>5216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Désirée Müller</cp:lastModifiedBy>
  <cp:revision>9</cp:revision>
  <dcterms:created xsi:type="dcterms:W3CDTF">2015-08-24T13:28:00Z</dcterms:created>
  <dcterms:modified xsi:type="dcterms:W3CDTF">2015-08-25T11:04:00Z</dcterms:modified>
</cp:coreProperties>
</file>