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BD080F" w:rsidRDefault="00BD080F" w:rsidP="00BD080F">
      <w:pPr>
        <w:spacing w:line="288" w:lineRule="auto"/>
        <w:rPr>
          <w:rFonts w:ascii="Helvetica" w:hAnsi="Helvetica"/>
          <w:b/>
        </w:rPr>
      </w:pPr>
      <w:r>
        <w:rPr>
          <w:rFonts w:ascii="Helvetica" w:hAnsi="Helvetica"/>
          <w:b/>
        </w:rPr>
        <w:t>PRESSEINFORMATION</w:t>
      </w:r>
    </w:p>
    <w:p w:rsidR="00BD080F" w:rsidRDefault="00BD080F" w:rsidP="00BD080F">
      <w:pPr>
        <w:spacing w:line="288" w:lineRule="auto"/>
        <w:rPr>
          <w:rFonts w:ascii="Helvetica" w:hAnsi="Helvetica"/>
          <w:b/>
        </w:rPr>
      </w:pPr>
    </w:p>
    <w:p w:rsidR="00BD080F" w:rsidRPr="005B2CC2" w:rsidRDefault="004F72BD" w:rsidP="00BD080F">
      <w:pPr>
        <w:spacing w:line="288" w:lineRule="auto"/>
        <w:rPr>
          <w:rFonts w:ascii="Helvetica" w:hAnsi="Helvetica"/>
          <w:sz w:val="20"/>
          <w:szCs w:val="20"/>
        </w:rPr>
      </w:pPr>
      <w:r>
        <w:rPr>
          <w:rFonts w:ascii="Helvetica" w:hAnsi="Helvetica"/>
          <w:sz w:val="20"/>
          <w:szCs w:val="20"/>
        </w:rPr>
        <w:t>Wien</w:t>
      </w:r>
      <w:r w:rsidR="00BD080F">
        <w:rPr>
          <w:rFonts w:ascii="Helvetica" w:hAnsi="Helvetica"/>
          <w:sz w:val="20"/>
          <w:szCs w:val="20"/>
        </w:rPr>
        <w:t>, 29. Juli 2013</w:t>
      </w:r>
    </w:p>
    <w:p w:rsidR="00BD080F" w:rsidRDefault="00BD080F" w:rsidP="00BD080F">
      <w:pPr>
        <w:spacing w:line="288" w:lineRule="auto"/>
        <w:ind w:right="1695"/>
        <w:rPr>
          <w:rFonts w:ascii="Helvetica" w:hAnsi="Helvetica"/>
          <w:b/>
          <w:szCs w:val="20"/>
        </w:rPr>
      </w:pPr>
    </w:p>
    <w:p w:rsidR="00BD080F" w:rsidRDefault="00BD080F" w:rsidP="00BD080F">
      <w:r>
        <w:rPr>
          <w:rFonts w:ascii="Helvetica" w:hAnsi="Helvetica"/>
          <w:b/>
          <w:szCs w:val="20"/>
        </w:rPr>
        <w:t xml:space="preserve">Auf einen Klick konfiguriert: </w:t>
      </w:r>
      <w:r w:rsidRPr="00761F97">
        <w:rPr>
          <w:rFonts w:ascii="Helvetica" w:hAnsi="Helvetica"/>
          <w:b/>
          <w:szCs w:val="20"/>
        </w:rPr>
        <w:t>Data-Loss-Prevention-Lösung für</w:t>
      </w:r>
      <w:r>
        <w:rPr>
          <w:rFonts w:ascii="Helvetica" w:hAnsi="Helvetica"/>
          <w:b/>
          <w:szCs w:val="20"/>
        </w:rPr>
        <w:br/>
      </w:r>
      <w:r w:rsidRPr="00761F97">
        <w:rPr>
          <w:rFonts w:ascii="Helvetica" w:hAnsi="Helvetica"/>
          <w:b/>
          <w:szCs w:val="20"/>
        </w:rPr>
        <w:t>Unified Threat Management</w:t>
      </w:r>
    </w:p>
    <w:p w:rsidR="00BD080F" w:rsidRDefault="00BD080F" w:rsidP="00BD080F">
      <w:pPr>
        <w:tabs>
          <w:tab w:val="left" w:pos="6379"/>
        </w:tabs>
        <w:spacing w:line="288" w:lineRule="auto"/>
        <w:ind w:right="2687"/>
        <w:rPr>
          <w:rFonts w:ascii="Helvetica" w:hAnsi="Helvetica"/>
          <w:sz w:val="20"/>
          <w:szCs w:val="20"/>
        </w:rPr>
      </w:pPr>
      <w:r w:rsidRPr="00761F97">
        <w:rPr>
          <w:rFonts w:ascii="Helvetica" w:hAnsi="Helvetica"/>
          <w:sz w:val="20"/>
          <w:szCs w:val="20"/>
        </w:rPr>
        <w:t>WatchGuard vereinfacht Einhaltung globaler regulatorischer Standards</w:t>
      </w:r>
    </w:p>
    <w:p w:rsidR="00BD080F" w:rsidRPr="00761F97" w:rsidRDefault="00BD080F" w:rsidP="00BD080F">
      <w:pPr>
        <w:tabs>
          <w:tab w:val="left" w:pos="6379"/>
        </w:tabs>
        <w:spacing w:line="288" w:lineRule="auto"/>
        <w:ind w:right="2687"/>
        <w:rPr>
          <w:rFonts w:ascii="Helvetica" w:hAnsi="Helvetica"/>
          <w:sz w:val="20"/>
          <w:szCs w:val="20"/>
        </w:rPr>
      </w:pPr>
    </w:p>
    <w:p w:rsidR="00BD080F" w:rsidRPr="005A0F0B" w:rsidRDefault="00BD080F" w:rsidP="00BD080F">
      <w:pPr>
        <w:tabs>
          <w:tab w:val="left" w:pos="7230"/>
          <w:tab w:val="left" w:pos="7371"/>
        </w:tabs>
        <w:spacing w:line="288" w:lineRule="auto"/>
        <w:ind w:right="1695"/>
        <w:rPr>
          <w:rFonts w:ascii="Helvetica" w:hAnsi="Helvetica"/>
          <w:sz w:val="20"/>
          <w:szCs w:val="20"/>
        </w:rPr>
      </w:pPr>
      <w:r w:rsidRPr="00D328C9">
        <w:rPr>
          <w:rFonts w:ascii="Helvetica" w:hAnsi="Helvetica"/>
          <w:b/>
          <w:sz w:val="20"/>
          <w:szCs w:val="20"/>
        </w:rPr>
        <w:t xml:space="preserve">WatchGuard </w:t>
      </w:r>
      <w:r>
        <w:rPr>
          <w:rFonts w:ascii="Helvetica" w:hAnsi="Helvetica"/>
          <w:b/>
          <w:sz w:val="20"/>
          <w:szCs w:val="20"/>
        </w:rPr>
        <w:t>hat</w:t>
      </w:r>
      <w:r w:rsidRPr="00D328C9">
        <w:rPr>
          <w:rFonts w:ascii="Helvetica" w:hAnsi="Helvetica"/>
          <w:b/>
          <w:sz w:val="20"/>
          <w:szCs w:val="20"/>
        </w:rPr>
        <w:t xml:space="preserve"> eine DLP-Lösung (Data Loss Prevention) für seine UTM-Plattform (Unified Threat Mangement)</w:t>
      </w:r>
      <w:r>
        <w:rPr>
          <w:rFonts w:ascii="Helvetica" w:hAnsi="Helvetica"/>
          <w:b/>
          <w:sz w:val="20"/>
          <w:szCs w:val="20"/>
        </w:rPr>
        <w:t xml:space="preserve"> angekündigt</w:t>
      </w:r>
      <w:r w:rsidRPr="00D328C9">
        <w:rPr>
          <w:rFonts w:ascii="Helvetica" w:hAnsi="Helvetica"/>
          <w:b/>
          <w:sz w:val="20"/>
          <w:szCs w:val="20"/>
        </w:rPr>
        <w:t xml:space="preserve">, welche </w:t>
      </w:r>
      <w:r>
        <w:rPr>
          <w:rFonts w:ascii="Helvetica" w:hAnsi="Helvetica"/>
          <w:b/>
          <w:sz w:val="20"/>
          <w:szCs w:val="20"/>
        </w:rPr>
        <w:t>die Einhaltung von</w:t>
      </w:r>
      <w:r w:rsidRPr="00D328C9">
        <w:rPr>
          <w:rFonts w:ascii="Helvetica" w:hAnsi="Helvetica"/>
          <w:b/>
          <w:sz w:val="20"/>
          <w:szCs w:val="20"/>
        </w:rPr>
        <w:t xml:space="preserve"> regulatorische</w:t>
      </w:r>
      <w:r>
        <w:rPr>
          <w:rFonts w:ascii="Helvetica" w:hAnsi="Helvetica"/>
          <w:b/>
          <w:sz w:val="20"/>
          <w:szCs w:val="20"/>
        </w:rPr>
        <w:t>n</w:t>
      </w:r>
      <w:r w:rsidRPr="00D328C9">
        <w:rPr>
          <w:rFonts w:ascii="Helvetica" w:hAnsi="Helvetica"/>
          <w:b/>
          <w:sz w:val="20"/>
          <w:szCs w:val="20"/>
        </w:rPr>
        <w:t xml:space="preserve"> Standards in </w:t>
      </w:r>
      <w:r>
        <w:rPr>
          <w:rFonts w:ascii="Helvetica" w:hAnsi="Helvetica"/>
          <w:b/>
          <w:sz w:val="20"/>
          <w:szCs w:val="20"/>
        </w:rPr>
        <w:t xml:space="preserve">den weltweit </w:t>
      </w:r>
      <w:r w:rsidRPr="00D328C9">
        <w:rPr>
          <w:rFonts w:ascii="Helvetica" w:hAnsi="Helvetica"/>
          <w:b/>
          <w:sz w:val="20"/>
          <w:szCs w:val="20"/>
        </w:rPr>
        <w:t xml:space="preserve">wichtigen </w:t>
      </w:r>
      <w:r>
        <w:rPr>
          <w:rFonts w:ascii="Helvetica" w:hAnsi="Helvetica"/>
          <w:b/>
          <w:sz w:val="20"/>
          <w:szCs w:val="20"/>
        </w:rPr>
        <w:t>Märkten</w:t>
      </w:r>
      <w:r w:rsidRPr="00D328C9">
        <w:rPr>
          <w:rFonts w:ascii="Helvetica" w:hAnsi="Helvetica"/>
          <w:b/>
          <w:sz w:val="20"/>
          <w:szCs w:val="20"/>
        </w:rPr>
        <w:t xml:space="preserve"> vereinfacht. Nutzer können dabei aus einer vorkonfigurierten Bibliothek </w:t>
      </w:r>
      <w:r>
        <w:rPr>
          <w:rFonts w:ascii="Helvetica" w:hAnsi="Helvetica"/>
          <w:b/>
          <w:sz w:val="20"/>
          <w:szCs w:val="20"/>
        </w:rPr>
        <w:t xml:space="preserve">von </w:t>
      </w:r>
      <w:r w:rsidRPr="00D328C9">
        <w:rPr>
          <w:rFonts w:ascii="Helvetica" w:hAnsi="Helvetica"/>
          <w:b/>
          <w:sz w:val="20"/>
          <w:szCs w:val="20"/>
        </w:rPr>
        <w:t xml:space="preserve">mehr als 200 Regeln auswählen, </w:t>
      </w:r>
      <w:r>
        <w:rPr>
          <w:rFonts w:ascii="Helvetica" w:hAnsi="Helvetica"/>
          <w:b/>
          <w:sz w:val="20"/>
          <w:szCs w:val="20"/>
        </w:rPr>
        <w:t>um</w:t>
      </w:r>
      <w:r w:rsidRPr="00D328C9">
        <w:rPr>
          <w:rFonts w:ascii="Helvetica" w:hAnsi="Helvetica"/>
          <w:b/>
          <w:sz w:val="20"/>
          <w:szCs w:val="20"/>
        </w:rPr>
        <w:t xml:space="preserve"> multiple Dateitypen, Standards und sensitive Daten</w:t>
      </w:r>
      <w:r>
        <w:rPr>
          <w:rFonts w:ascii="Helvetica" w:hAnsi="Helvetica"/>
          <w:b/>
          <w:sz w:val="20"/>
          <w:szCs w:val="20"/>
        </w:rPr>
        <w:t xml:space="preserve"> zu</w:t>
      </w:r>
      <w:r w:rsidRPr="00D328C9">
        <w:rPr>
          <w:rFonts w:ascii="Helvetica" w:hAnsi="Helvetica"/>
          <w:b/>
          <w:sz w:val="20"/>
          <w:szCs w:val="20"/>
        </w:rPr>
        <w:t xml:space="preserve"> überwachen. Dazu gehören nationale Identifikationsnummern und andere Informationen zur Identifikation von Individuen</w:t>
      </w:r>
      <w:r>
        <w:rPr>
          <w:rFonts w:ascii="Helvetica" w:hAnsi="Helvetica"/>
          <w:b/>
          <w:sz w:val="20"/>
          <w:szCs w:val="20"/>
        </w:rPr>
        <w:t>,</w:t>
      </w:r>
      <w:r w:rsidRPr="00D328C9">
        <w:rPr>
          <w:rFonts w:ascii="Helvetica" w:hAnsi="Helvetica"/>
          <w:b/>
          <w:sz w:val="20"/>
          <w:szCs w:val="20"/>
        </w:rPr>
        <w:t xml:space="preserve"> </w:t>
      </w:r>
      <w:r>
        <w:rPr>
          <w:rFonts w:ascii="Helvetica" w:hAnsi="Helvetica"/>
          <w:b/>
          <w:sz w:val="20"/>
          <w:szCs w:val="20"/>
        </w:rPr>
        <w:t xml:space="preserve">wie </w:t>
      </w:r>
      <w:r w:rsidRPr="00D328C9">
        <w:rPr>
          <w:rFonts w:ascii="Helvetica" w:hAnsi="Helvetica"/>
          <w:b/>
          <w:sz w:val="20"/>
          <w:szCs w:val="20"/>
        </w:rPr>
        <w:t xml:space="preserve">PII (Personally Identifiable Information). </w:t>
      </w:r>
      <w:r>
        <w:rPr>
          <w:rFonts w:ascii="Helvetica" w:hAnsi="Helvetica"/>
          <w:b/>
          <w:sz w:val="20"/>
          <w:szCs w:val="20"/>
        </w:rPr>
        <w:t>M</w:t>
      </w:r>
      <w:r w:rsidRPr="00D328C9">
        <w:rPr>
          <w:rFonts w:ascii="Helvetica" w:hAnsi="Helvetica"/>
          <w:b/>
          <w:sz w:val="20"/>
          <w:szCs w:val="20"/>
        </w:rPr>
        <w:t xml:space="preserve">it einem Klick können </w:t>
      </w:r>
      <w:r>
        <w:rPr>
          <w:rFonts w:ascii="Helvetica" w:hAnsi="Helvetica"/>
          <w:b/>
          <w:sz w:val="20"/>
          <w:szCs w:val="20"/>
        </w:rPr>
        <w:t>k</w:t>
      </w:r>
      <w:r w:rsidRPr="00D328C9">
        <w:rPr>
          <w:rFonts w:ascii="Helvetica" w:hAnsi="Helvetica"/>
          <w:b/>
          <w:sz w:val="20"/>
          <w:szCs w:val="20"/>
        </w:rPr>
        <w:t>omplexe Kontrollen aktiviert werden</w:t>
      </w:r>
      <w:r>
        <w:rPr>
          <w:rFonts w:ascii="Helvetica" w:hAnsi="Helvetica"/>
          <w:b/>
          <w:sz w:val="20"/>
          <w:szCs w:val="20"/>
        </w:rPr>
        <w:t>,</w:t>
      </w:r>
      <w:r w:rsidRPr="00D328C9">
        <w:rPr>
          <w:rFonts w:ascii="Helvetica" w:hAnsi="Helvetica"/>
          <w:b/>
          <w:sz w:val="20"/>
          <w:szCs w:val="20"/>
        </w:rPr>
        <w:t xml:space="preserve"> beispielsweise zur Einhaltung gesetzlicher Bestimmungen zum Schutz von personenbezogen</w:t>
      </w:r>
      <w:r>
        <w:rPr>
          <w:rFonts w:ascii="Helvetica" w:hAnsi="Helvetica"/>
          <w:b/>
          <w:sz w:val="20"/>
          <w:szCs w:val="20"/>
        </w:rPr>
        <w:t>e</w:t>
      </w:r>
      <w:r w:rsidRPr="00D328C9">
        <w:rPr>
          <w:rFonts w:ascii="Helvetica" w:hAnsi="Helvetica"/>
          <w:b/>
          <w:sz w:val="20"/>
          <w:szCs w:val="20"/>
        </w:rPr>
        <w:t>n Gesundheitsdaten oder zur Einhaltung von Regeln bei der Abwicklung von Kreditkartentransaktionen</w:t>
      </w:r>
      <w:r>
        <w:rPr>
          <w:rFonts w:ascii="Helvetica" w:hAnsi="Helvetica"/>
          <w:b/>
          <w:sz w:val="20"/>
          <w:szCs w:val="20"/>
        </w:rPr>
        <w:t>. Diese Funktionen</w:t>
      </w:r>
      <w:r w:rsidRPr="00D328C9">
        <w:rPr>
          <w:rFonts w:ascii="Helvetica" w:hAnsi="Helvetica"/>
          <w:b/>
          <w:sz w:val="20"/>
          <w:szCs w:val="20"/>
        </w:rPr>
        <w:t xml:space="preserve"> ermöglich</w:t>
      </w:r>
      <w:r>
        <w:rPr>
          <w:rFonts w:ascii="Helvetica" w:hAnsi="Helvetica"/>
          <w:b/>
          <w:sz w:val="20"/>
          <w:szCs w:val="20"/>
        </w:rPr>
        <w:t>en</w:t>
      </w:r>
      <w:r w:rsidRPr="00D328C9">
        <w:rPr>
          <w:rFonts w:ascii="Helvetica" w:hAnsi="Helvetica"/>
          <w:b/>
          <w:sz w:val="20"/>
          <w:szCs w:val="20"/>
        </w:rPr>
        <w:t xml:space="preserve"> es Unterne</w:t>
      </w:r>
      <w:r>
        <w:rPr>
          <w:rFonts w:ascii="Helvetica" w:hAnsi="Helvetica"/>
          <w:b/>
          <w:sz w:val="20"/>
          <w:szCs w:val="20"/>
        </w:rPr>
        <w:t>h</w:t>
      </w:r>
      <w:r w:rsidRPr="00D328C9">
        <w:rPr>
          <w:rFonts w:ascii="Helvetica" w:hAnsi="Helvetica"/>
          <w:b/>
          <w:sz w:val="20"/>
          <w:szCs w:val="20"/>
        </w:rPr>
        <w:t xml:space="preserve">men, </w:t>
      </w:r>
      <w:r>
        <w:rPr>
          <w:rFonts w:ascii="Helvetica" w:hAnsi="Helvetica"/>
          <w:b/>
          <w:sz w:val="20"/>
          <w:szCs w:val="20"/>
        </w:rPr>
        <w:t xml:space="preserve">ihre </w:t>
      </w:r>
      <w:r w:rsidRPr="00D328C9">
        <w:rPr>
          <w:rFonts w:ascii="Helvetica" w:hAnsi="Helvetica"/>
          <w:b/>
          <w:sz w:val="20"/>
          <w:szCs w:val="20"/>
        </w:rPr>
        <w:t xml:space="preserve">Daten schnell </w:t>
      </w:r>
      <w:r>
        <w:rPr>
          <w:rFonts w:ascii="Helvetica" w:hAnsi="Helvetica"/>
          <w:b/>
          <w:sz w:val="20"/>
          <w:szCs w:val="20"/>
        </w:rPr>
        <w:t xml:space="preserve">und umfassend </w:t>
      </w:r>
      <w:r w:rsidRPr="00D328C9">
        <w:rPr>
          <w:rFonts w:ascii="Helvetica" w:hAnsi="Helvetica"/>
          <w:b/>
          <w:sz w:val="20"/>
          <w:szCs w:val="20"/>
        </w:rPr>
        <w:t>zu schützen und</w:t>
      </w:r>
      <w:r>
        <w:rPr>
          <w:rFonts w:ascii="Helvetica" w:hAnsi="Helvetica"/>
          <w:b/>
          <w:sz w:val="20"/>
          <w:szCs w:val="20"/>
        </w:rPr>
        <w:t xml:space="preserve"> dadurch</w:t>
      </w:r>
      <w:r w:rsidRPr="00D328C9">
        <w:rPr>
          <w:rFonts w:ascii="Helvetica" w:hAnsi="Helvetica"/>
          <w:b/>
          <w:sz w:val="20"/>
          <w:szCs w:val="20"/>
        </w:rPr>
        <w:t xml:space="preserve"> kostspielige Strafen für Com</w:t>
      </w:r>
      <w:r>
        <w:rPr>
          <w:rFonts w:ascii="Helvetica" w:hAnsi="Helvetica"/>
          <w:b/>
          <w:sz w:val="20"/>
          <w:szCs w:val="20"/>
        </w:rPr>
        <w:t>p</w:t>
      </w:r>
      <w:r w:rsidRPr="00D328C9">
        <w:rPr>
          <w:rFonts w:ascii="Helvetica" w:hAnsi="Helvetica"/>
          <w:b/>
          <w:sz w:val="20"/>
          <w:szCs w:val="20"/>
        </w:rPr>
        <w:t xml:space="preserve">liance-Vergehen zu </w:t>
      </w:r>
      <w:r w:rsidRPr="005A0F0B">
        <w:rPr>
          <w:rFonts w:ascii="Helvetica" w:hAnsi="Helvetica"/>
          <w:b/>
          <w:sz w:val="20"/>
          <w:szCs w:val="20"/>
        </w:rPr>
        <w:t>verhindern. Immerhin können diese pro Versto</w:t>
      </w:r>
      <w:r>
        <w:rPr>
          <w:rFonts w:ascii="Helvetica" w:hAnsi="Helvetica"/>
          <w:b/>
          <w:sz w:val="20"/>
          <w:szCs w:val="20"/>
        </w:rPr>
        <w:t>ß</w:t>
      </w:r>
      <w:r w:rsidRPr="005A0F0B">
        <w:rPr>
          <w:rFonts w:ascii="Helvetica" w:hAnsi="Helvetica"/>
          <w:b/>
          <w:sz w:val="20"/>
          <w:szCs w:val="20"/>
        </w:rPr>
        <w:t xml:space="preserve"> bis zu 5,4 Mio. Dollar betragen. „</w:t>
      </w:r>
      <w:r>
        <w:rPr>
          <w:rFonts w:ascii="Helvetica" w:hAnsi="Helvetica"/>
          <w:b/>
          <w:sz w:val="20"/>
          <w:szCs w:val="20"/>
        </w:rPr>
        <w:t>Durch die</w:t>
      </w:r>
      <w:r w:rsidRPr="005A0F0B">
        <w:rPr>
          <w:rFonts w:ascii="Helvetica" w:hAnsi="Helvetica"/>
          <w:b/>
          <w:sz w:val="20"/>
          <w:szCs w:val="20"/>
        </w:rPr>
        <w:t xml:space="preserve"> </w:t>
      </w:r>
      <w:r>
        <w:rPr>
          <w:rFonts w:ascii="Helvetica" w:hAnsi="Helvetica"/>
          <w:b/>
          <w:sz w:val="20"/>
          <w:szCs w:val="20"/>
        </w:rPr>
        <w:t>Menge an bereits im Auslieferungszustand enthaltenen</w:t>
      </w:r>
      <w:r w:rsidRPr="005A0F0B">
        <w:rPr>
          <w:rFonts w:ascii="Helvetica" w:hAnsi="Helvetica"/>
          <w:b/>
          <w:sz w:val="20"/>
          <w:szCs w:val="20"/>
        </w:rPr>
        <w:t xml:space="preserve"> vorkonfigurierten Regelsets können wir das Risiko von Fehleinstellungen verhindern</w:t>
      </w:r>
      <w:r>
        <w:rPr>
          <w:rFonts w:ascii="Helvetica" w:hAnsi="Helvetica"/>
          <w:b/>
          <w:sz w:val="20"/>
          <w:szCs w:val="20"/>
        </w:rPr>
        <w:t>. Da wir zudem eine Vielzahl unterschiedlicher Datenarten vor Verlust schützen, a</w:t>
      </w:r>
      <w:r w:rsidRPr="005A0F0B">
        <w:rPr>
          <w:rFonts w:ascii="Helvetica" w:hAnsi="Helvetica"/>
          <w:b/>
          <w:sz w:val="20"/>
          <w:szCs w:val="20"/>
        </w:rPr>
        <w:t xml:space="preserve">dressieren wir </w:t>
      </w:r>
      <w:r>
        <w:rPr>
          <w:rFonts w:ascii="Helvetica" w:hAnsi="Helvetica"/>
          <w:b/>
          <w:sz w:val="20"/>
          <w:szCs w:val="20"/>
        </w:rPr>
        <w:t xml:space="preserve">damit </w:t>
      </w:r>
      <w:r w:rsidRPr="00D13912">
        <w:rPr>
          <w:rFonts w:ascii="Helvetica" w:hAnsi="Helvetica"/>
          <w:b/>
          <w:sz w:val="20"/>
          <w:szCs w:val="20"/>
        </w:rPr>
        <w:t>eines der Hauptprobleme der Datensicherheit in Unternehm</w:t>
      </w:r>
      <w:r w:rsidRPr="00BD080F">
        <w:rPr>
          <w:rFonts w:ascii="Helvetica" w:hAnsi="Helvetica"/>
          <w:b/>
          <w:sz w:val="20"/>
          <w:szCs w:val="20"/>
        </w:rPr>
        <w:t>en, den unabsichtlichen Datenverlust durch interne Mitarbeiter</w:t>
      </w:r>
      <w:r w:rsidR="0043742D">
        <w:rPr>
          <w:rFonts w:ascii="Helvetica" w:hAnsi="Helvetica"/>
          <w:b/>
          <w:sz w:val="20"/>
          <w:szCs w:val="20"/>
        </w:rPr>
        <w:t xml:space="preserve">“, </w:t>
      </w:r>
      <w:r w:rsidRPr="00D13912">
        <w:rPr>
          <w:rFonts w:ascii="Helvetica" w:hAnsi="Helvetica"/>
          <w:b/>
          <w:sz w:val="20"/>
          <w:szCs w:val="20"/>
        </w:rPr>
        <w:t xml:space="preserve">so Michael Haas, Area Sales Dirctor Central EMEA bei WatchGuard Technologies. </w:t>
      </w:r>
      <w:r>
        <w:rPr>
          <w:rFonts w:ascii="Helvetica" w:hAnsi="Helvetica"/>
          <w:b/>
          <w:sz w:val="20"/>
          <w:szCs w:val="20"/>
        </w:rPr>
        <w:t xml:space="preserve">Ergänzend räumt er etwaige Befürchtungen hinsichtlich der Performance aus: „Da unsere </w:t>
      </w:r>
      <w:r w:rsidRPr="00D13912">
        <w:rPr>
          <w:rFonts w:ascii="Helvetica" w:hAnsi="Helvetica"/>
          <w:b/>
          <w:sz w:val="20"/>
          <w:szCs w:val="20"/>
        </w:rPr>
        <w:t>UTM-Plattform 3,5 mal</w:t>
      </w:r>
      <w:r w:rsidRPr="005A0F0B">
        <w:rPr>
          <w:rFonts w:ascii="Helvetica" w:hAnsi="Helvetica"/>
          <w:b/>
          <w:sz w:val="20"/>
          <w:szCs w:val="20"/>
        </w:rPr>
        <w:t xml:space="preserve"> schneller ist als andere Produkte</w:t>
      </w:r>
      <w:r>
        <w:rPr>
          <w:rFonts w:ascii="Helvetica" w:hAnsi="Helvetica"/>
          <w:b/>
          <w:sz w:val="20"/>
          <w:szCs w:val="20"/>
        </w:rPr>
        <w:t xml:space="preserve"> in</w:t>
      </w:r>
      <w:r w:rsidRPr="005A0F0B">
        <w:rPr>
          <w:rFonts w:ascii="Helvetica" w:hAnsi="Helvetica"/>
          <w:b/>
          <w:sz w:val="20"/>
          <w:szCs w:val="20"/>
        </w:rPr>
        <w:t xml:space="preserve"> derselben Preisklasse, </w:t>
      </w:r>
      <w:r>
        <w:rPr>
          <w:rFonts w:ascii="Helvetica" w:hAnsi="Helvetica"/>
          <w:b/>
          <w:sz w:val="20"/>
          <w:szCs w:val="20"/>
        </w:rPr>
        <w:t xml:space="preserve">wird durch </w:t>
      </w:r>
      <w:r w:rsidRPr="005A0F0B">
        <w:rPr>
          <w:rFonts w:ascii="Helvetica" w:hAnsi="Helvetica"/>
          <w:b/>
          <w:sz w:val="20"/>
          <w:szCs w:val="20"/>
        </w:rPr>
        <w:t>den Einsatz von DLP die Netzwerk</w:t>
      </w:r>
      <w:r>
        <w:rPr>
          <w:rFonts w:ascii="Helvetica" w:hAnsi="Helvetica"/>
          <w:b/>
          <w:sz w:val="20"/>
          <w:szCs w:val="20"/>
        </w:rPr>
        <w:t>-P</w:t>
      </w:r>
      <w:r w:rsidRPr="005A0F0B">
        <w:rPr>
          <w:rFonts w:ascii="Helvetica" w:hAnsi="Helvetica"/>
          <w:b/>
          <w:sz w:val="20"/>
          <w:szCs w:val="20"/>
        </w:rPr>
        <w:t>erformance in keiner Weise beeinträchtig</w:t>
      </w:r>
      <w:r>
        <w:rPr>
          <w:rFonts w:ascii="Helvetica" w:hAnsi="Helvetica"/>
          <w:b/>
          <w:sz w:val="20"/>
          <w:szCs w:val="20"/>
        </w:rPr>
        <w:t>t</w:t>
      </w:r>
      <w:r w:rsidRPr="005A0F0B">
        <w:rPr>
          <w:rFonts w:ascii="Helvetica" w:hAnsi="Helvetica"/>
          <w:b/>
          <w:sz w:val="20"/>
          <w:szCs w:val="20"/>
        </w:rPr>
        <w:t>.</w:t>
      </w:r>
      <w:r>
        <w:rPr>
          <w:rFonts w:ascii="Helvetica" w:hAnsi="Helvetica"/>
          <w:b/>
          <w:sz w:val="20"/>
          <w:szCs w:val="20"/>
        </w:rPr>
        <w:t>“</w:t>
      </w:r>
    </w:p>
    <w:p w:rsidR="00BD080F" w:rsidRDefault="00BD080F" w:rsidP="00BD080F">
      <w:pPr>
        <w:tabs>
          <w:tab w:val="left" w:pos="7230"/>
          <w:tab w:val="left" w:pos="7371"/>
        </w:tabs>
        <w:spacing w:line="288" w:lineRule="auto"/>
        <w:ind w:right="1695"/>
        <w:rPr>
          <w:rFonts w:ascii="Helvetica" w:hAnsi="Helvetica"/>
          <w:b/>
          <w:sz w:val="20"/>
          <w:szCs w:val="20"/>
        </w:rPr>
      </w:pPr>
    </w:p>
    <w:p w:rsidR="00BD080F" w:rsidRDefault="00BD080F" w:rsidP="00BD080F">
      <w:pPr>
        <w:tabs>
          <w:tab w:val="left" w:pos="7230"/>
          <w:tab w:val="left" w:pos="7371"/>
        </w:tabs>
        <w:spacing w:line="288" w:lineRule="auto"/>
        <w:ind w:right="1695"/>
        <w:rPr>
          <w:rFonts w:ascii="Helvetica" w:hAnsi="Helvetica"/>
          <w:sz w:val="20"/>
          <w:szCs w:val="20"/>
        </w:rPr>
      </w:pPr>
      <w:r>
        <w:rPr>
          <w:rFonts w:ascii="Helvetica" w:hAnsi="Helvetica"/>
          <w:sz w:val="20"/>
          <w:szCs w:val="20"/>
        </w:rPr>
        <w:t xml:space="preserve">Seit </w:t>
      </w:r>
      <w:r w:rsidRPr="00761F97">
        <w:rPr>
          <w:rFonts w:ascii="Helvetica" w:hAnsi="Helvetica"/>
          <w:sz w:val="20"/>
          <w:szCs w:val="20"/>
        </w:rPr>
        <w:t xml:space="preserve">2005 wurden mehr als 600 Millionen </w:t>
      </w:r>
      <w:r>
        <w:rPr>
          <w:rFonts w:ascii="Helvetica" w:hAnsi="Helvetica"/>
          <w:sz w:val="20"/>
          <w:szCs w:val="20"/>
        </w:rPr>
        <w:t>Zugriffsverletzungen registriert</w:t>
      </w:r>
      <w:r w:rsidRPr="00761F97">
        <w:rPr>
          <w:rFonts w:ascii="Helvetica" w:hAnsi="Helvetica"/>
          <w:sz w:val="20"/>
          <w:szCs w:val="20"/>
        </w:rPr>
        <w:t>, und die Zahl steigt stetig an, weil Unternehmen sich</w:t>
      </w:r>
      <w:r>
        <w:rPr>
          <w:rFonts w:ascii="Helvetica" w:hAnsi="Helvetica"/>
          <w:sz w:val="20"/>
          <w:szCs w:val="20"/>
        </w:rPr>
        <w:t xml:space="preserve"> </w:t>
      </w:r>
      <w:r w:rsidRPr="00761F97">
        <w:rPr>
          <w:rFonts w:ascii="Helvetica" w:hAnsi="Helvetica"/>
          <w:sz w:val="20"/>
          <w:szCs w:val="20"/>
        </w:rPr>
        <w:t xml:space="preserve">mit den Herausforderungen der </w:t>
      </w:r>
      <w:r>
        <w:rPr>
          <w:rFonts w:ascii="Helvetica" w:hAnsi="Helvetica"/>
          <w:sz w:val="20"/>
          <w:szCs w:val="20"/>
        </w:rPr>
        <w:t>komplizierten</w:t>
      </w:r>
      <w:r w:rsidRPr="00761F97">
        <w:rPr>
          <w:rFonts w:ascii="Helvetica" w:hAnsi="Helvetica"/>
          <w:sz w:val="20"/>
          <w:szCs w:val="20"/>
        </w:rPr>
        <w:t xml:space="preserve"> regulatorischen </w:t>
      </w:r>
      <w:r>
        <w:rPr>
          <w:rFonts w:ascii="Helvetica" w:hAnsi="Helvetica"/>
          <w:sz w:val="20"/>
          <w:szCs w:val="20"/>
        </w:rPr>
        <w:t>Anforderungen</w:t>
      </w:r>
      <w:r w:rsidRPr="00761F97">
        <w:rPr>
          <w:rFonts w:ascii="Helvetica" w:hAnsi="Helvetica"/>
          <w:sz w:val="20"/>
          <w:szCs w:val="20"/>
        </w:rPr>
        <w:t xml:space="preserve"> zum Schutz </w:t>
      </w:r>
      <w:r>
        <w:rPr>
          <w:rFonts w:ascii="Helvetica" w:hAnsi="Helvetica"/>
          <w:sz w:val="20"/>
          <w:szCs w:val="20"/>
        </w:rPr>
        <w:t>der</w:t>
      </w:r>
      <w:r w:rsidRPr="00761F97">
        <w:rPr>
          <w:rFonts w:ascii="Helvetica" w:hAnsi="Helvetica"/>
          <w:sz w:val="20"/>
          <w:szCs w:val="20"/>
        </w:rPr>
        <w:t xml:space="preserve"> unterschiedlichste</w:t>
      </w:r>
      <w:r>
        <w:rPr>
          <w:rFonts w:ascii="Helvetica" w:hAnsi="Helvetica"/>
          <w:sz w:val="20"/>
          <w:szCs w:val="20"/>
        </w:rPr>
        <w:t>n Datentypen konfrontiert sehen. Aber o</w:t>
      </w:r>
      <w:r w:rsidRPr="00761F97">
        <w:rPr>
          <w:rFonts w:ascii="Helvetica" w:hAnsi="Helvetica"/>
          <w:sz w:val="20"/>
          <w:szCs w:val="20"/>
        </w:rPr>
        <w:t xml:space="preserve">bwohl Unternehmen beim Verlust von sensitiven Daten mit Strafen in Millionenhöhen rechnen müssen, gaben 63 Prozent der von WatchGuard befragten Firmen an, keine DLP-Lösung einzusetzen. „Globale Studien </w:t>
      </w:r>
      <w:r>
        <w:rPr>
          <w:rFonts w:ascii="Helvetica" w:hAnsi="Helvetica"/>
          <w:sz w:val="20"/>
          <w:szCs w:val="20"/>
        </w:rPr>
        <w:t xml:space="preserve">wiederum </w:t>
      </w:r>
      <w:r w:rsidRPr="00761F97">
        <w:rPr>
          <w:rFonts w:ascii="Helvetica" w:hAnsi="Helvetica"/>
          <w:sz w:val="20"/>
          <w:szCs w:val="20"/>
        </w:rPr>
        <w:t xml:space="preserve">gehen davon aus, dass bei rund 36 Prozent der Unternehmen die Kosten der Grund dafür sind, weshalb DLP nicht implementiert ist. Dabei könnte durch den Einsatz von DLP in </w:t>
      </w:r>
      <w:r>
        <w:rPr>
          <w:rFonts w:ascii="Helvetica" w:hAnsi="Helvetica"/>
          <w:sz w:val="20"/>
          <w:szCs w:val="20"/>
        </w:rPr>
        <w:t>einer</w:t>
      </w:r>
      <w:bookmarkStart w:id="0" w:name="_GoBack"/>
      <w:bookmarkEnd w:id="0"/>
      <w:r w:rsidRPr="00761F97">
        <w:rPr>
          <w:rFonts w:ascii="Helvetica" w:hAnsi="Helvetica"/>
          <w:sz w:val="20"/>
          <w:szCs w:val="20"/>
        </w:rPr>
        <w:t xml:space="preserve"> UTM-Appliance der Schutz der Daten nicht nur vereinfac</w:t>
      </w:r>
      <w:r>
        <w:rPr>
          <w:rFonts w:ascii="Helvetica" w:hAnsi="Helvetica"/>
          <w:sz w:val="20"/>
          <w:szCs w:val="20"/>
        </w:rPr>
        <w:t>ht, sondern gleichzeitig die Total Cost Of Ownership</w:t>
      </w:r>
      <w:r w:rsidRPr="00761F97">
        <w:rPr>
          <w:rFonts w:ascii="Helvetica" w:hAnsi="Helvetica"/>
          <w:sz w:val="20"/>
          <w:szCs w:val="20"/>
        </w:rPr>
        <w:t xml:space="preserve"> für Netzwerksicherheit um fast die Hälfte gesenkt werden“, </w:t>
      </w:r>
      <w:r>
        <w:rPr>
          <w:rFonts w:ascii="Helvetica" w:hAnsi="Helvetica"/>
          <w:sz w:val="20"/>
          <w:szCs w:val="20"/>
        </w:rPr>
        <w:t>ist Haas überzeugt.</w:t>
      </w:r>
    </w:p>
    <w:p w:rsidR="00BD080F" w:rsidRPr="00761F97" w:rsidRDefault="00BD080F" w:rsidP="00BD080F">
      <w:pPr>
        <w:tabs>
          <w:tab w:val="left" w:pos="7230"/>
          <w:tab w:val="left" w:pos="7371"/>
        </w:tabs>
        <w:spacing w:line="288" w:lineRule="auto"/>
        <w:ind w:right="1695"/>
        <w:rPr>
          <w:rFonts w:ascii="Helvetica" w:hAnsi="Helvetica"/>
          <w:sz w:val="20"/>
          <w:szCs w:val="20"/>
        </w:rPr>
      </w:pPr>
    </w:p>
    <w:tbl>
      <w:tblPr>
        <w:tblW w:w="5953" w:type="dxa"/>
        <w:tblInd w:w="216" w:type="dxa"/>
        <w:tblLayout w:type="fixed"/>
        <w:tblCellMar>
          <w:top w:w="57" w:type="dxa"/>
          <w:bottom w:w="57" w:type="dxa"/>
        </w:tblCellMar>
        <w:tblLook w:val="00A0"/>
      </w:tblPr>
      <w:tblGrid>
        <w:gridCol w:w="2693"/>
        <w:gridCol w:w="3260"/>
      </w:tblGrid>
      <w:tr w:rsidR="007D5DC0" w:rsidRPr="00600B8D">
        <w:trPr>
          <w:trHeight w:val="1599"/>
        </w:trPr>
        <w:tc>
          <w:tcPr>
            <w:tcW w:w="2693" w:type="dxa"/>
          </w:tcPr>
          <w:p w:rsidR="007D5DC0" w:rsidRPr="00CC458F" w:rsidRDefault="007D5DC0" w:rsidP="00D328C9">
            <w:pPr>
              <w:pStyle w:val="Textkrper"/>
              <w:spacing w:line="288" w:lineRule="auto"/>
              <w:ind w:right="567"/>
              <w:jc w:val="center"/>
              <w:rPr>
                <w:sz w:val="20"/>
                <w:lang w:eastAsia="de-DE"/>
              </w:rPr>
            </w:pPr>
            <w:r>
              <w:rPr>
                <w:noProof/>
                <w:sz w:val="20"/>
                <w:lang w:eastAsia="de-DE"/>
              </w:rPr>
              <w:drawing>
                <wp:inline distT="0" distB="0" distL="0" distR="0">
                  <wp:extent cx="927100" cy="1111250"/>
                  <wp:effectExtent l="25400" t="0" r="0" b="0"/>
                  <wp:docPr id="2" name="Bild 2" descr="WAT_MichaelHaas2013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T_MichaelHaas2013_klein"/>
                          <pic:cNvPicPr>
                            <a:picLocks noChangeAspect="1" noChangeArrowheads="1"/>
                          </pic:cNvPicPr>
                        </pic:nvPicPr>
                        <pic:blipFill>
                          <a:blip r:embed="rId4"/>
                          <a:srcRect/>
                          <a:stretch>
                            <a:fillRect/>
                          </a:stretch>
                        </pic:blipFill>
                        <pic:spPr bwMode="auto">
                          <a:xfrm>
                            <a:off x="0" y="0"/>
                            <a:ext cx="927100" cy="1111250"/>
                          </a:xfrm>
                          <a:prstGeom prst="rect">
                            <a:avLst/>
                          </a:prstGeom>
                          <a:noFill/>
                          <a:ln w="9525">
                            <a:noFill/>
                            <a:miter lim="800000"/>
                            <a:headEnd/>
                            <a:tailEnd/>
                          </a:ln>
                        </pic:spPr>
                      </pic:pic>
                    </a:graphicData>
                  </a:graphic>
                </wp:inline>
              </w:drawing>
            </w:r>
          </w:p>
        </w:tc>
        <w:tc>
          <w:tcPr>
            <w:tcW w:w="3260" w:type="dxa"/>
            <w:vMerge w:val="restart"/>
          </w:tcPr>
          <w:p w:rsidR="007D5DC0" w:rsidRPr="007C7EDE" w:rsidRDefault="007D5DC0" w:rsidP="007D5DC0">
            <w:pPr>
              <w:pStyle w:val="Kopfzeile"/>
              <w:spacing w:line="288" w:lineRule="auto"/>
              <w:rPr>
                <w:rFonts w:ascii="Helvetica" w:hAnsi="Helvetica"/>
                <w:lang w:eastAsia="de-DE"/>
              </w:rPr>
            </w:pPr>
            <w:r w:rsidRPr="00F379DB">
              <w:rPr>
                <w:rFonts w:ascii="Helvetica" w:hAnsi="Helvetica"/>
                <w:lang w:eastAsia="de-DE"/>
              </w:rPr>
              <w:t xml:space="preserve">Das </w:t>
            </w:r>
            <w:r>
              <w:rPr>
                <w:rFonts w:ascii="Helvetica" w:hAnsi="Helvetica"/>
                <w:lang w:eastAsia="de-DE"/>
              </w:rPr>
              <w:t>Foto von Michael Haas steht</w:t>
            </w:r>
            <w:r w:rsidRPr="00F379DB">
              <w:rPr>
                <w:rFonts w:ascii="Helvetica" w:hAnsi="Helvetica"/>
                <w:lang w:eastAsia="de-DE"/>
              </w:rPr>
              <w:t xml:space="preserve"> in druck</w:t>
            </w:r>
            <w:r w:rsidRPr="00F379DB">
              <w:rPr>
                <w:rFonts w:ascii="Helvetica" w:hAnsi="Helvetica"/>
                <w:lang w:eastAsia="de-DE"/>
              </w:rPr>
              <w:softHyphen/>
              <w:t>fähiger Auflösung steht Download bereit unter www.press-n-relations.de (im Anhang zum dort veröffentlichten Text)</w:t>
            </w:r>
            <w:r>
              <w:rPr>
                <w:rFonts w:ascii="Helvetica" w:hAnsi="Helvetica"/>
                <w:lang w:eastAsia="de-DE"/>
              </w:rPr>
              <w:t>.</w:t>
            </w:r>
          </w:p>
        </w:tc>
      </w:tr>
      <w:tr w:rsidR="007D5DC0" w:rsidRPr="00600B8D">
        <w:trPr>
          <w:trHeight w:val="540"/>
        </w:trPr>
        <w:tc>
          <w:tcPr>
            <w:tcW w:w="2693" w:type="dxa"/>
          </w:tcPr>
          <w:p w:rsidR="007D5DC0" w:rsidRPr="00672DC8" w:rsidRDefault="007D5DC0" w:rsidP="00D328C9">
            <w:pPr>
              <w:pStyle w:val="Textkrper"/>
              <w:spacing w:line="288" w:lineRule="auto"/>
              <w:ind w:right="-1"/>
              <w:rPr>
                <w:b w:val="0"/>
                <w:sz w:val="20"/>
                <w:lang w:eastAsia="de-DE"/>
              </w:rPr>
            </w:pPr>
            <w:r w:rsidRPr="00672DC8">
              <w:rPr>
                <w:rFonts w:cs="Arial"/>
                <w:b w:val="0"/>
                <w:sz w:val="16"/>
                <w:szCs w:val="24"/>
                <w:lang w:eastAsia="de-DE"/>
              </w:rPr>
              <w:t xml:space="preserve">Michael Haas, </w:t>
            </w:r>
            <w:r>
              <w:rPr>
                <w:rFonts w:cs="Arial"/>
                <w:b w:val="0"/>
                <w:sz w:val="16"/>
                <w:szCs w:val="24"/>
                <w:lang w:eastAsia="de-DE"/>
              </w:rPr>
              <w:t>Area Sales Director Central EMEA</w:t>
            </w:r>
            <w:r w:rsidRPr="00672DC8">
              <w:rPr>
                <w:rFonts w:cs="Arial"/>
                <w:b w:val="0"/>
                <w:sz w:val="16"/>
                <w:szCs w:val="24"/>
                <w:lang w:eastAsia="de-DE"/>
              </w:rPr>
              <w:t xml:space="preserve"> bei WatchGuard Technologies</w:t>
            </w:r>
          </w:p>
        </w:tc>
        <w:tc>
          <w:tcPr>
            <w:tcW w:w="3260" w:type="dxa"/>
            <w:vMerge/>
          </w:tcPr>
          <w:p w:rsidR="007D5DC0" w:rsidRPr="00E7405E" w:rsidRDefault="007D5DC0" w:rsidP="00D328C9">
            <w:pPr>
              <w:pStyle w:val="Textkrper"/>
              <w:rPr>
                <w:rFonts w:eastAsia="Times New Roman"/>
                <w:sz w:val="20"/>
              </w:rPr>
            </w:pPr>
          </w:p>
        </w:tc>
      </w:tr>
    </w:tbl>
    <w:p w:rsidR="00BD080F" w:rsidRDefault="00BD080F" w:rsidP="00BD080F">
      <w:pPr>
        <w:spacing w:line="288" w:lineRule="auto"/>
        <w:ind w:right="1269"/>
        <w:rPr>
          <w:rFonts w:ascii="Helvetica" w:hAnsi="Helvetica"/>
          <w:b/>
          <w:sz w:val="18"/>
          <w:szCs w:val="20"/>
        </w:rPr>
      </w:pPr>
    </w:p>
    <w:tbl>
      <w:tblPr>
        <w:tblW w:w="8717" w:type="dxa"/>
        <w:tblCellMar>
          <w:left w:w="70" w:type="dxa"/>
          <w:right w:w="70" w:type="dxa"/>
        </w:tblCellMar>
        <w:tblLook w:val="0000"/>
      </w:tblPr>
      <w:tblGrid>
        <w:gridCol w:w="4606"/>
        <w:gridCol w:w="4111"/>
      </w:tblGrid>
      <w:tr w:rsidR="00BD080F" w:rsidRPr="00C46CE1">
        <w:trPr>
          <w:trHeight w:val="1436"/>
        </w:trPr>
        <w:tc>
          <w:tcPr>
            <w:tcW w:w="4606" w:type="dxa"/>
          </w:tcPr>
          <w:p w:rsidR="00BD080F" w:rsidRPr="00945D5B" w:rsidRDefault="00BD080F" w:rsidP="00D328C9">
            <w:pPr>
              <w:pStyle w:val="Textkrper"/>
              <w:spacing w:line="312" w:lineRule="auto"/>
              <w:ind w:right="426"/>
              <w:rPr>
                <w:bCs/>
                <w:sz w:val="16"/>
              </w:rPr>
            </w:pPr>
            <w:r w:rsidRPr="00945D5B">
              <w:rPr>
                <w:bCs/>
                <w:sz w:val="16"/>
              </w:rPr>
              <w:t>Weitere Informationen:</w:t>
            </w:r>
          </w:p>
          <w:p w:rsidR="00BD080F" w:rsidRPr="00E60906" w:rsidRDefault="00BD080F" w:rsidP="00D328C9">
            <w:pPr>
              <w:pStyle w:val="Textkrper"/>
              <w:tabs>
                <w:tab w:val="left" w:pos="7513"/>
              </w:tabs>
              <w:spacing w:line="312" w:lineRule="auto"/>
              <w:rPr>
                <w:b w:val="0"/>
                <w:sz w:val="16"/>
              </w:rPr>
            </w:pPr>
            <w:r w:rsidRPr="00E60906">
              <w:rPr>
                <w:b w:val="0"/>
                <w:sz w:val="16"/>
              </w:rPr>
              <w:t>WatchGuard Technologies GmbH</w:t>
            </w:r>
          </w:p>
          <w:p w:rsidR="00BD080F" w:rsidRPr="00E60906" w:rsidRDefault="00BD080F" w:rsidP="00D328C9">
            <w:pPr>
              <w:pStyle w:val="Textkrper"/>
              <w:tabs>
                <w:tab w:val="left" w:pos="7513"/>
              </w:tabs>
              <w:spacing w:line="312" w:lineRule="auto"/>
              <w:rPr>
                <w:b w:val="0"/>
                <w:sz w:val="16"/>
              </w:rPr>
            </w:pPr>
            <w:r w:rsidRPr="00E60906">
              <w:rPr>
                <w:b w:val="0"/>
                <w:sz w:val="16"/>
              </w:rPr>
              <w:t>Michael Haas – Area Sales Director Central EMEA</w:t>
            </w:r>
          </w:p>
          <w:p w:rsidR="00BD080F" w:rsidRPr="00E60906" w:rsidRDefault="00BD080F" w:rsidP="00D328C9">
            <w:pPr>
              <w:pStyle w:val="Textkrper"/>
              <w:tabs>
                <w:tab w:val="left" w:pos="7513"/>
              </w:tabs>
              <w:spacing w:line="312" w:lineRule="auto"/>
              <w:rPr>
                <w:b w:val="0"/>
                <w:sz w:val="16"/>
              </w:rPr>
            </w:pPr>
            <w:r w:rsidRPr="00E60906">
              <w:rPr>
                <w:b w:val="0"/>
                <w:sz w:val="16"/>
              </w:rPr>
              <w:t>Wendenstr. 379, 20537 Hamburg</w:t>
            </w:r>
          </w:p>
          <w:p w:rsidR="00BD080F" w:rsidRPr="00E60906" w:rsidRDefault="00BD080F" w:rsidP="00D328C9">
            <w:pPr>
              <w:pStyle w:val="Textkrper"/>
              <w:tabs>
                <w:tab w:val="left" w:pos="7513"/>
              </w:tabs>
              <w:spacing w:line="312" w:lineRule="auto"/>
              <w:rPr>
                <w:b w:val="0"/>
                <w:sz w:val="16"/>
              </w:rPr>
            </w:pPr>
            <w:r w:rsidRPr="00E60906">
              <w:rPr>
                <w:b w:val="0"/>
                <w:sz w:val="16"/>
              </w:rPr>
              <w:t>Tel.: +49 40 883 0687-0</w:t>
            </w:r>
          </w:p>
          <w:p w:rsidR="00BD080F" w:rsidRPr="00E60906" w:rsidRDefault="00BD080F" w:rsidP="00D328C9">
            <w:pPr>
              <w:pStyle w:val="Textkrper"/>
              <w:tabs>
                <w:tab w:val="left" w:pos="7513"/>
              </w:tabs>
              <w:spacing w:line="312" w:lineRule="auto"/>
              <w:rPr>
                <w:b w:val="0"/>
                <w:sz w:val="16"/>
              </w:rPr>
            </w:pPr>
            <w:r w:rsidRPr="00E60906">
              <w:rPr>
                <w:b w:val="0"/>
                <w:sz w:val="16"/>
              </w:rPr>
              <w:t>Fax: +49 40 883 0687-29</w:t>
            </w:r>
          </w:p>
          <w:p w:rsidR="00BD080F" w:rsidRDefault="00BD080F" w:rsidP="00D328C9">
            <w:pPr>
              <w:pStyle w:val="Textkrper"/>
              <w:tabs>
                <w:tab w:val="left" w:pos="7513"/>
              </w:tabs>
              <w:spacing w:line="312" w:lineRule="auto"/>
              <w:rPr>
                <w:b w:val="0"/>
                <w:sz w:val="16"/>
              </w:rPr>
            </w:pPr>
            <w:r w:rsidRPr="00E60906">
              <w:rPr>
                <w:b w:val="0"/>
                <w:sz w:val="16"/>
              </w:rPr>
              <w:t>michael.haas@watchguard.com</w:t>
            </w:r>
          </w:p>
          <w:p w:rsidR="00BD080F" w:rsidRPr="00E5489A" w:rsidRDefault="00BD080F" w:rsidP="00D328C9">
            <w:pPr>
              <w:pStyle w:val="Textkrper"/>
              <w:tabs>
                <w:tab w:val="left" w:pos="7513"/>
              </w:tabs>
              <w:spacing w:line="312" w:lineRule="auto"/>
              <w:rPr>
                <w:b w:val="0"/>
                <w:sz w:val="16"/>
              </w:rPr>
            </w:pPr>
            <w:r w:rsidRPr="003C0AD4">
              <w:rPr>
                <w:b w:val="0"/>
                <w:sz w:val="16"/>
              </w:rPr>
              <w:t>www.watchguard.de</w:t>
            </w:r>
          </w:p>
        </w:tc>
        <w:tc>
          <w:tcPr>
            <w:tcW w:w="4111" w:type="dxa"/>
          </w:tcPr>
          <w:p w:rsidR="004F72BD" w:rsidRPr="008C0DAD" w:rsidRDefault="004F72BD" w:rsidP="004F72BD">
            <w:pPr>
              <w:pStyle w:val="Textkrper"/>
              <w:framePr w:hSpace="141" w:wrap="around" w:vAnchor="text" w:hAnchor="page" w:x="1488" w:y="-70"/>
              <w:tabs>
                <w:tab w:val="left" w:pos="7513"/>
              </w:tabs>
              <w:spacing w:line="312" w:lineRule="auto"/>
              <w:ind w:right="426"/>
              <w:rPr>
                <w:bCs/>
                <w:sz w:val="16"/>
                <w:lang w:val="en-US"/>
              </w:rPr>
            </w:pPr>
            <w:r>
              <w:rPr>
                <w:bCs/>
                <w:sz w:val="16"/>
                <w:lang w:val="en-US"/>
              </w:rPr>
              <w:t>Presse- und Ö</w:t>
            </w:r>
            <w:r w:rsidRPr="008C0DAD">
              <w:rPr>
                <w:bCs/>
                <w:sz w:val="16"/>
                <w:lang w:val="en-US"/>
              </w:rPr>
              <w:t>ffentlichkeitsarbeit:</w:t>
            </w:r>
          </w:p>
          <w:p w:rsidR="004F72BD" w:rsidRPr="008C0DAD" w:rsidRDefault="004F72BD" w:rsidP="004F72BD">
            <w:pPr>
              <w:pStyle w:val="Textkrper"/>
              <w:framePr w:hSpace="141" w:wrap="around" w:vAnchor="text" w:hAnchor="page" w:x="1489"/>
              <w:tabs>
                <w:tab w:val="left" w:pos="7513"/>
              </w:tabs>
              <w:spacing w:line="312" w:lineRule="auto"/>
              <w:ind w:right="426"/>
              <w:rPr>
                <w:b w:val="0"/>
                <w:bCs/>
                <w:sz w:val="16"/>
                <w:lang w:val="en-US"/>
              </w:rPr>
            </w:pPr>
            <w:r w:rsidRPr="008C0DAD">
              <w:rPr>
                <w:b w:val="0"/>
                <w:bCs/>
                <w:sz w:val="16"/>
                <w:lang w:val="en-US"/>
              </w:rPr>
              <w:t xml:space="preserve">Press'n'Relations </w:t>
            </w:r>
            <w:r>
              <w:rPr>
                <w:b w:val="0"/>
                <w:bCs/>
                <w:sz w:val="16"/>
                <w:lang w:val="en-US"/>
              </w:rPr>
              <w:t xml:space="preserve">Austria </w:t>
            </w:r>
            <w:r w:rsidRPr="008C0DAD">
              <w:rPr>
                <w:b w:val="0"/>
                <w:bCs/>
                <w:sz w:val="16"/>
                <w:lang w:val="en-US"/>
              </w:rPr>
              <w:t>GmbH</w:t>
            </w:r>
          </w:p>
          <w:p w:rsidR="004F72BD" w:rsidRPr="008C0DAD" w:rsidRDefault="004F72BD" w:rsidP="004F72BD">
            <w:pPr>
              <w:pStyle w:val="Textkrper"/>
              <w:framePr w:hSpace="141" w:wrap="around" w:vAnchor="text" w:hAnchor="page" w:x="1489"/>
              <w:tabs>
                <w:tab w:val="left" w:pos="7513"/>
              </w:tabs>
              <w:spacing w:line="312" w:lineRule="auto"/>
              <w:ind w:right="426"/>
              <w:rPr>
                <w:b w:val="0"/>
                <w:bCs/>
                <w:sz w:val="16"/>
                <w:lang w:val="en-US"/>
              </w:rPr>
            </w:pPr>
            <w:r>
              <w:rPr>
                <w:b w:val="0"/>
                <w:bCs/>
                <w:sz w:val="16"/>
                <w:lang w:val="en-US"/>
              </w:rPr>
              <w:t>Melanie Wallner</w:t>
            </w:r>
          </w:p>
          <w:p w:rsidR="004F72BD" w:rsidRPr="008C0DAD" w:rsidRDefault="004F72BD" w:rsidP="004F72BD">
            <w:pPr>
              <w:pStyle w:val="Textkrper"/>
              <w:framePr w:hSpace="141" w:wrap="around" w:vAnchor="text" w:hAnchor="page" w:x="1489"/>
              <w:tabs>
                <w:tab w:val="left" w:pos="7513"/>
              </w:tabs>
              <w:spacing w:line="312" w:lineRule="auto"/>
              <w:ind w:right="426"/>
              <w:rPr>
                <w:b w:val="0"/>
                <w:bCs/>
                <w:sz w:val="16"/>
                <w:lang w:val="en-US"/>
              </w:rPr>
            </w:pPr>
            <w:r>
              <w:rPr>
                <w:b w:val="0"/>
                <w:bCs/>
                <w:sz w:val="16"/>
                <w:lang w:val="en-US"/>
              </w:rPr>
              <w:t>Währinger Straße 61</w:t>
            </w:r>
            <w:r w:rsidRPr="008C0DAD">
              <w:rPr>
                <w:b w:val="0"/>
                <w:bCs/>
                <w:sz w:val="16"/>
                <w:lang w:val="en-US"/>
              </w:rPr>
              <w:t xml:space="preserve">, </w:t>
            </w:r>
            <w:r>
              <w:rPr>
                <w:b w:val="0"/>
                <w:bCs/>
                <w:sz w:val="16"/>
                <w:lang w:val="en-US"/>
              </w:rPr>
              <w:t>1090 Wien</w:t>
            </w:r>
          </w:p>
          <w:p w:rsidR="004F72BD" w:rsidRPr="008C0DAD" w:rsidRDefault="004F72BD" w:rsidP="004F72BD">
            <w:pPr>
              <w:pStyle w:val="Textkrper"/>
              <w:framePr w:hSpace="141" w:wrap="around" w:vAnchor="text" w:hAnchor="page" w:x="1489"/>
              <w:tabs>
                <w:tab w:val="left" w:pos="7513"/>
              </w:tabs>
              <w:spacing w:line="312" w:lineRule="auto"/>
              <w:ind w:right="426"/>
              <w:rPr>
                <w:b w:val="0"/>
                <w:bCs/>
                <w:sz w:val="16"/>
                <w:lang w:val="en-US"/>
              </w:rPr>
            </w:pPr>
            <w:r w:rsidRPr="008C0DAD">
              <w:rPr>
                <w:b w:val="0"/>
                <w:bCs/>
                <w:sz w:val="16"/>
                <w:lang w:val="en-US"/>
              </w:rPr>
              <w:t>Tel.: +</w:t>
            </w:r>
            <w:r>
              <w:rPr>
                <w:b w:val="0"/>
                <w:bCs/>
                <w:sz w:val="16"/>
                <w:lang w:val="en-US"/>
              </w:rPr>
              <w:t>43 (0) 19076148-11</w:t>
            </w:r>
          </w:p>
          <w:p w:rsidR="004F72BD" w:rsidRPr="008C0DAD" w:rsidRDefault="004F72BD" w:rsidP="004F72BD">
            <w:pPr>
              <w:pStyle w:val="Textkrper"/>
              <w:framePr w:hSpace="141" w:wrap="around" w:vAnchor="text" w:hAnchor="page" w:x="1489"/>
              <w:tabs>
                <w:tab w:val="left" w:pos="7513"/>
              </w:tabs>
              <w:spacing w:line="312" w:lineRule="auto"/>
              <w:ind w:right="426"/>
              <w:rPr>
                <w:b w:val="0"/>
                <w:bCs/>
                <w:sz w:val="16"/>
                <w:lang w:val="en-US"/>
              </w:rPr>
            </w:pPr>
            <w:r w:rsidRPr="008C0DAD">
              <w:rPr>
                <w:b w:val="0"/>
                <w:bCs/>
                <w:sz w:val="16"/>
                <w:lang w:val="en-US"/>
              </w:rPr>
              <w:t>Fax: +</w:t>
            </w:r>
            <w:r>
              <w:rPr>
                <w:b w:val="0"/>
                <w:bCs/>
                <w:sz w:val="16"/>
                <w:lang w:val="en-US"/>
              </w:rPr>
              <w:t>43 (0) 19076148-15</w:t>
            </w:r>
          </w:p>
          <w:p w:rsidR="004F72BD" w:rsidRPr="008C0DAD" w:rsidRDefault="004F72BD" w:rsidP="004F72BD">
            <w:pPr>
              <w:pStyle w:val="Textkrper"/>
              <w:framePr w:hSpace="141" w:wrap="around" w:vAnchor="text" w:hAnchor="page" w:x="1489"/>
              <w:tabs>
                <w:tab w:val="left" w:pos="7513"/>
              </w:tabs>
              <w:spacing w:line="312" w:lineRule="auto"/>
              <w:ind w:right="426"/>
              <w:rPr>
                <w:b w:val="0"/>
                <w:bCs/>
                <w:sz w:val="16"/>
                <w:lang w:val="en-US"/>
              </w:rPr>
            </w:pPr>
            <w:r>
              <w:rPr>
                <w:b w:val="0"/>
                <w:bCs/>
                <w:sz w:val="16"/>
                <w:lang w:val="en-US"/>
              </w:rPr>
              <w:t>mwa@press-n-relations.at</w:t>
            </w:r>
          </w:p>
          <w:p w:rsidR="00BD080F" w:rsidRPr="008C0DAD" w:rsidRDefault="004F72BD" w:rsidP="004F72BD">
            <w:pPr>
              <w:pStyle w:val="Textkrper"/>
              <w:tabs>
                <w:tab w:val="left" w:pos="7513"/>
              </w:tabs>
              <w:spacing w:line="312" w:lineRule="auto"/>
              <w:ind w:right="426"/>
              <w:rPr>
                <w:b w:val="0"/>
                <w:bCs/>
                <w:sz w:val="16"/>
                <w:lang w:val="en-US"/>
              </w:rPr>
            </w:pPr>
            <w:r>
              <w:rPr>
                <w:b w:val="0"/>
                <w:bCs/>
                <w:sz w:val="16"/>
                <w:lang w:val="en-US"/>
              </w:rPr>
              <w:t>www.press-n-relations.at</w:t>
            </w:r>
          </w:p>
        </w:tc>
      </w:tr>
    </w:tbl>
    <w:p w:rsidR="00BD080F" w:rsidRDefault="00BD080F" w:rsidP="00BD080F">
      <w:pPr>
        <w:tabs>
          <w:tab w:val="left" w:pos="8647"/>
        </w:tabs>
        <w:ind w:right="419"/>
        <w:rPr>
          <w:rFonts w:ascii="Helvetica" w:hAnsi="Helvetica"/>
          <w:sz w:val="18"/>
          <w:szCs w:val="20"/>
        </w:rPr>
      </w:pPr>
    </w:p>
    <w:p w:rsidR="00BD080F" w:rsidRPr="007D75A7" w:rsidRDefault="00BD080F" w:rsidP="00BD080F">
      <w:pPr>
        <w:tabs>
          <w:tab w:val="left" w:pos="8647"/>
        </w:tabs>
        <w:ind w:right="419"/>
        <w:rPr>
          <w:rFonts w:ascii="Helvetica" w:hAnsi="Helvetica"/>
          <w:sz w:val="18"/>
          <w:szCs w:val="20"/>
        </w:rPr>
      </w:pPr>
      <w:r w:rsidRPr="0000019B">
        <w:rPr>
          <w:rFonts w:ascii="Helvetica" w:hAnsi="Helvetica"/>
          <w:b/>
          <w:sz w:val="18"/>
          <w:szCs w:val="20"/>
        </w:rPr>
        <w:t>Über WatchGuard Technologies</w:t>
      </w:r>
    </w:p>
    <w:p w:rsidR="00BD080F" w:rsidRPr="007A381E" w:rsidRDefault="00BD080F" w:rsidP="00BD080F">
      <w:pPr>
        <w:tabs>
          <w:tab w:val="left" w:pos="8364"/>
          <w:tab w:val="left" w:pos="8505"/>
        </w:tabs>
        <w:ind w:right="561"/>
        <w:rPr>
          <w:rFonts w:ascii="Helvetica" w:hAnsi="Helvetica"/>
          <w:sz w:val="18"/>
          <w:szCs w:val="20"/>
        </w:rPr>
      </w:pPr>
      <w:r w:rsidRPr="0000019B">
        <w:rPr>
          <w:rFonts w:ascii="Helvetica" w:hAnsi="Helvetica"/>
          <w:sz w:val="18"/>
          <w:szCs w:val="20"/>
        </w:rPr>
        <w:t>Seit 1996 entwickelt WatchGuard ganzheitliche Netzwerk- und Content-Sicherheitslösungen, mit denen Unternehmen ihre Daten und Geschäfte umfassend schützen können. Das XTM-Portfolio (Extensible Threat Management) kombiniert Firewall, VPN und Sicherheitsdienste. Die XCS-Appliances (Extensible Content Security) schützen darüber hinaus Unternehmensinhalte sowohl in E-Mails als auch im Web und verhindern den Datenverlust.</w:t>
      </w:r>
      <w:r>
        <w:rPr>
          <w:rFonts w:ascii="Helvetica" w:hAnsi="Helvetica"/>
          <w:sz w:val="18"/>
          <w:szCs w:val="20"/>
        </w:rPr>
        <w:t xml:space="preserve"> Dank umfangreicher Skalierungs</w:t>
      </w:r>
      <w:r w:rsidRPr="0000019B">
        <w:rPr>
          <w:rFonts w:ascii="Helvetica" w:hAnsi="Helvetica"/>
          <w:sz w:val="18"/>
          <w:szCs w:val="20"/>
        </w:rPr>
        <w:t>möglichkeiten hat WatchGuard für Unternehmen jeder Größenordnung die passende Lösung und mehr als 15.000 eigens ausgewählte Partner in 120 Ländern bieten abgestimmten Service. Der Hauptsitz von WatchGuard liegt in Seattle im US-Bundesstaat Washington. Weitere Informationen unter www.watchguard.com.</w:t>
      </w:r>
    </w:p>
    <w:p w:rsidR="00BD080F" w:rsidRDefault="00BD080F" w:rsidP="00BD080F">
      <w:pPr>
        <w:tabs>
          <w:tab w:val="left" w:pos="8364"/>
          <w:tab w:val="left" w:pos="8505"/>
        </w:tabs>
        <w:ind w:right="561"/>
      </w:pPr>
    </w:p>
    <w:p w:rsidR="00BD080F" w:rsidRDefault="00BD080F" w:rsidP="00BD080F"/>
    <w:p w:rsidR="00BD080F" w:rsidRDefault="00BD080F" w:rsidP="00BD080F"/>
    <w:p w:rsidR="00BD080F" w:rsidRDefault="00BD080F" w:rsidP="00BD080F"/>
    <w:p w:rsidR="00BD080F" w:rsidRDefault="00BD080F" w:rsidP="00BD080F"/>
    <w:p w:rsidR="00D328C9" w:rsidRDefault="00D328C9"/>
    <w:sectPr w:rsidR="00D328C9" w:rsidSect="00D328C9">
      <w:headerReference w:type="default" r:id="rId5"/>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0000000" w:usb2="01000407" w:usb3="00000000" w:csb0="00020000" w:csb1="00000000"/>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080E0000" w:usb2="00000010" w:usb3="00000000" w:csb0="00040001" w:csb1="00000000"/>
  </w:font>
  <w:font w:name="Lucida Grande">
    <w:panose1 w:val="020004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B014E" w:rsidRPr="00B674DF" w:rsidRDefault="00AE3AE7">
    <w:pPr>
      <w:pStyle w:val="Kopfzeile"/>
      <w:rPr>
        <w:sz w:val="32"/>
        <w:szCs w:val="32"/>
      </w:rPr>
    </w:pPr>
    <w:r>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15pt;margin-top:6pt;width:180pt;height:51.55pt;z-index:251660288;mso-wrap-edited:f" wrapcoords="7744 0 2519 818 1212 1309 1166 2618 979 3109 466 4909 0 7854 -46 9000 -46 13090 139 15709 559 18163 653 18490 1586 20781 2052 21272 3872 21272 4292 20781 5318 18163 5691 15709 21133 15218 21133 7854 21600 6218 20853 6218 7977 5236 8257 5072 8863 3272 8910 1800 8770 818 8584 0 7744 0">
          <v:imagedata r:id="rId1" o:title="wgrd_logo_clr"/>
          <w10:wrap type="through"/>
        </v:shape>
      </w:pict>
    </w:r>
  </w:p>
  <w:p w:rsidR="005B014E" w:rsidRPr="00B674DF" w:rsidRDefault="005B014E">
    <w:pPr>
      <w:pStyle w:val="Kopfzeile"/>
      <w:rPr>
        <w:sz w:val="32"/>
        <w:szCs w:val="32"/>
      </w:rPr>
    </w:pPr>
  </w:p>
  <w:p w:rsidR="005B014E" w:rsidRPr="00B674DF" w:rsidRDefault="005B014E">
    <w:pPr>
      <w:pStyle w:val="Kopfzeile"/>
      <w:rPr>
        <w:sz w:val="32"/>
        <w:szCs w:val="32"/>
      </w:rPr>
    </w:pPr>
  </w:p>
  <w:p w:rsidR="005B014E" w:rsidRPr="00B674DF" w:rsidRDefault="005B014E">
    <w:pPr>
      <w:pStyle w:val="Kopfzeile"/>
      <w:rPr>
        <w:sz w:val="32"/>
        <w:szCs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0"/>
    <o:shapelayout v:ext="edit">
      <o:idmap v:ext="edit" data="1"/>
    </o:shapelayout>
  </w:hdrShapeDefaults>
  <w:compat>
    <w:doNotAutofitConstrainedTables/>
    <w:doNotVertAlignCellWithSp/>
    <w:doNotBreakConstrainedForcedTable/>
    <w:useAnsiKerningPairs/>
    <w:cachedColBalance/>
    <w:splitPgBreakAndParaMark/>
  </w:compat>
  <w:rsids>
    <w:rsidRoot w:val="00761F97"/>
    <w:rsid w:val="00026466"/>
    <w:rsid w:val="00411CE6"/>
    <w:rsid w:val="0043742D"/>
    <w:rsid w:val="004F72BD"/>
    <w:rsid w:val="005A0F0B"/>
    <w:rsid w:val="005B014E"/>
    <w:rsid w:val="00761F97"/>
    <w:rsid w:val="007D5DC0"/>
    <w:rsid w:val="00872839"/>
    <w:rsid w:val="00894AB0"/>
    <w:rsid w:val="00A145F7"/>
    <w:rsid w:val="00AE3AE7"/>
    <w:rsid w:val="00BD080F"/>
    <w:rsid w:val="00C0613A"/>
    <w:rsid w:val="00D13912"/>
    <w:rsid w:val="00D328C9"/>
  </w:rsids>
  <m:mathPr>
    <m:mathFont m:val="Lucida Grande"/>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style w:type="paragraph" w:default="1" w:styleId="Standard">
    <w:name w:val="Normal"/>
    <w:qFormat/>
    <w:rsid w:val="00761F97"/>
    <w:rPr>
      <w:rFonts w:ascii="Cambria" w:eastAsia="ＭＳ 明朝" w:hAnsi="Cambria"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basedOn w:val="Absatzstandardschriftart"/>
    <w:link w:val="Kopfzeile"/>
    <w:rsid w:val="00761F97"/>
    <w:rPr>
      <w:rFonts w:ascii="Cambria" w:eastAsia="ＭＳ 明朝" w:hAnsi="Cambria" w:cs="Times New Roman"/>
      <w:sz w:val="20"/>
      <w:szCs w:val="20"/>
    </w:rPr>
  </w:style>
  <w:style w:type="paragraph" w:styleId="Kopfzeile">
    <w:name w:val="header"/>
    <w:basedOn w:val="Standard"/>
    <w:link w:val="KopfzeileZeichen"/>
    <w:unhideWhenUsed/>
    <w:rsid w:val="00761F97"/>
    <w:pPr>
      <w:tabs>
        <w:tab w:val="center" w:pos="4536"/>
        <w:tab w:val="right" w:pos="9072"/>
      </w:tabs>
    </w:pPr>
    <w:rPr>
      <w:sz w:val="20"/>
      <w:szCs w:val="20"/>
      <w:lang w:eastAsia="en-US"/>
    </w:rPr>
  </w:style>
  <w:style w:type="character" w:customStyle="1" w:styleId="KopfzeileZeichen1">
    <w:name w:val="Kopfzeile Zeichen1"/>
    <w:basedOn w:val="Absatzstandardschriftart"/>
    <w:link w:val="Kopfzeile"/>
    <w:uiPriority w:val="99"/>
    <w:semiHidden/>
    <w:rsid w:val="00761F97"/>
    <w:rPr>
      <w:rFonts w:ascii="Cambria" w:eastAsia="ＭＳ 明朝" w:hAnsi="Cambria" w:cs="Times New Roman"/>
      <w:lang w:eastAsia="de-DE"/>
    </w:rPr>
  </w:style>
  <w:style w:type="character" w:customStyle="1" w:styleId="TextkrperZeichen">
    <w:name w:val="Textkörper Zeichen"/>
    <w:basedOn w:val="Absatzstandardschriftart"/>
    <w:link w:val="Textkrper"/>
    <w:rsid w:val="00761F97"/>
    <w:rPr>
      <w:rFonts w:ascii="Helvetica" w:eastAsia="SimSun" w:hAnsi="Helvetica" w:cs="Times New Roman"/>
      <w:b/>
      <w:sz w:val="22"/>
      <w:szCs w:val="22"/>
    </w:rPr>
  </w:style>
  <w:style w:type="paragraph" w:styleId="Textkrper">
    <w:name w:val="Body Text"/>
    <w:basedOn w:val="Standard"/>
    <w:link w:val="TextkrperZeichen"/>
    <w:rsid w:val="00761F97"/>
    <w:rPr>
      <w:rFonts w:ascii="Helvetica" w:eastAsia="SimSun" w:hAnsi="Helvetica"/>
      <w:b/>
      <w:sz w:val="22"/>
      <w:szCs w:val="22"/>
      <w:lang w:eastAsia="en-US"/>
    </w:rPr>
  </w:style>
  <w:style w:type="character" w:customStyle="1" w:styleId="TextkrperZeichen1">
    <w:name w:val="Textkörper Zeichen1"/>
    <w:basedOn w:val="Absatzstandardschriftart"/>
    <w:link w:val="Textkrper"/>
    <w:uiPriority w:val="99"/>
    <w:semiHidden/>
    <w:rsid w:val="00761F97"/>
    <w:rPr>
      <w:rFonts w:ascii="Cambria" w:eastAsia="ＭＳ 明朝" w:hAnsi="Cambria" w:cs="Times New Roman"/>
      <w:lang w:eastAsia="de-DE"/>
    </w:rPr>
  </w:style>
  <w:style w:type="paragraph" w:styleId="Sprechblasentext">
    <w:name w:val="Balloon Text"/>
    <w:basedOn w:val="Standard"/>
    <w:link w:val="SprechblasentextZeichen"/>
    <w:rsid w:val="00BD080F"/>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BD080F"/>
    <w:rPr>
      <w:rFonts w:ascii="Lucida Grande" w:eastAsia="ＭＳ 明朝" w:hAnsi="Lucida Grande" w:cs="Lucida Grande"/>
      <w:sz w:val="18"/>
      <w:szCs w:val="18"/>
      <w:lang w:eastAsia="de-DE"/>
    </w:rPr>
  </w:style>
  <w:style w:type="character" w:styleId="Kommentarzeichen">
    <w:name w:val="annotation reference"/>
    <w:basedOn w:val="Absatzstandardschriftart"/>
    <w:rsid w:val="00BD080F"/>
    <w:rPr>
      <w:sz w:val="18"/>
      <w:szCs w:val="18"/>
    </w:rPr>
  </w:style>
  <w:style w:type="paragraph" w:styleId="Kommentartext">
    <w:name w:val="annotation text"/>
    <w:basedOn w:val="Standard"/>
    <w:link w:val="KommentartextZeichen"/>
    <w:rsid w:val="00BD080F"/>
  </w:style>
  <w:style w:type="character" w:customStyle="1" w:styleId="KommentartextZeichen">
    <w:name w:val="Kommentartext Zeichen"/>
    <w:basedOn w:val="Absatzstandardschriftart"/>
    <w:link w:val="Kommentartext"/>
    <w:rsid w:val="00BD080F"/>
    <w:rPr>
      <w:rFonts w:ascii="Cambria" w:eastAsia="ＭＳ 明朝" w:hAnsi="Cambria" w:cs="Times New Roman"/>
      <w:lang w:eastAsia="de-DE"/>
    </w:rPr>
  </w:style>
  <w:style w:type="paragraph" w:styleId="Kommentarthema">
    <w:name w:val="annotation subject"/>
    <w:basedOn w:val="Kommentartext"/>
    <w:next w:val="Kommentartext"/>
    <w:link w:val="KommentarthemaZeichen"/>
    <w:rsid w:val="00BD080F"/>
    <w:rPr>
      <w:b/>
      <w:bCs/>
      <w:sz w:val="20"/>
      <w:szCs w:val="20"/>
    </w:rPr>
  </w:style>
  <w:style w:type="character" w:customStyle="1" w:styleId="KommentarthemaZeichen">
    <w:name w:val="Kommentarthema Zeichen"/>
    <w:basedOn w:val="KommentartextZeichen"/>
    <w:link w:val="Kommentarthema"/>
    <w:rsid w:val="00BD080F"/>
    <w:rPr>
      <w:b/>
      <w:bCs/>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3482</Characters>
  <Application>Microsoft Macintosh Word</Application>
  <DocSecurity>0</DocSecurity>
  <Lines>29</Lines>
  <Paragraphs>6</Paragraphs>
  <ScaleCrop>false</ScaleCrop>
  <Company>Press'n'Relations </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Melanie Wallner</cp:lastModifiedBy>
  <cp:revision>2</cp:revision>
  <dcterms:created xsi:type="dcterms:W3CDTF">2013-07-29T09:45:00Z</dcterms:created>
  <dcterms:modified xsi:type="dcterms:W3CDTF">2013-07-29T09:45:00Z</dcterms:modified>
</cp:coreProperties>
</file>