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6F352" w14:textId="77777777" w:rsidR="002757A3" w:rsidRPr="000655B7" w:rsidRDefault="002757A3" w:rsidP="00E37F9E">
      <w:pPr>
        <w:autoSpaceDE w:val="0"/>
        <w:autoSpaceDN w:val="0"/>
        <w:adjustRightInd w:val="0"/>
        <w:spacing w:after="0" w:line="240" w:lineRule="auto"/>
        <w:rPr>
          <w:rFonts w:ascii="Arial" w:hAnsi="Arial" w:cs="Arial"/>
          <w:b/>
          <w:color w:val="000000"/>
          <w:sz w:val="24"/>
          <w:szCs w:val="24"/>
        </w:rPr>
      </w:pPr>
    </w:p>
    <w:p w14:paraId="0B2168AF" w14:textId="77777777" w:rsidR="00E37F9E" w:rsidRPr="000655B7" w:rsidRDefault="002757A3" w:rsidP="00E37F9E">
      <w:pPr>
        <w:autoSpaceDE w:val="0"/>
        <w:autoSpaceDN w:val="0"/>
        <w:adjustRightInd w:val="0"/>
        <w:spacing w:after="0" w:line="240" w:lineRule="auto"/>
        <w:rPr>
          <w:rFonts w:ascii="Arial" w:hAnsi="Arial" w:cs="Arial"/>
          <w:b/>
          <w:color w:val="000000"/>
          <w:sz w:val="28"/>
          <w:szCs w:val="28"/>
        </w:rPr>
      </w:pPr>
      <w:r w:rsidRPr="000655B7">
        <w:rPr>
          <w:rFonts w:ascii="Arial" w:hAnsi="Arial" w:cs="Arial"/>
          <w:b/>
          <w:color w:val="000000"/>
          <w:sz w:val="28"/>
          <w:szCs w:val="28"/>
        </w:rPr>
        <w:t>PRESSEINFORMATION</w:t>
      </w:r>
    </w:p>
    <w:p w14:paraId="1BB9B786" w14:textId="317EA9DC" w:rsidR="002757A3" w:rsidRPr="000655B7" w:rsidRDefault="00314048" w:rsidP="00E37F9E">
      <w:pPr>
        <w:autoSpaceDE w:val="0"/>
        <w:autoSpaceDN w:val="0"/>
        <w:adjustRightInd w:val="0"/>
        <w:spacing w:after="0" w:line="240" w:lineRule="auto"/>
        <w:rPr>
          <w:rFonts w:ascii="Arial" w:hAnsi="Arial" w:cs="Arial"/>
          <w:color w:val="000000"/>
        </w:rPr>
      </w:pPr>
      <w:proofErr w:type="spellStart"/>
      <w:r>
        <w:rPr>
          <w:rFonts w:ascii="Arial" w:hAnsi="Arial" w:cs="Arial"/>
          <w:color w:val="000000"/>
        </w:rPr>
        <w:t>Großmehring</w:t>
      </w:r>
      <w:proofErr w:type="spellEnd"/>
      <w:r w:rsidR="002757A3" w:rsidRPr="000655B7">
        <w:rPr>
          <w:rFonts w:ascii="Arial" w:hAnsi="Arial" w:cs="Arial"/>
          <w:color w:val="000000"/>
        </w:rPr>
        <w:t>, 27. Mai 2014</w:t>
      </w:r>
    </w:p>
    <w:p w14:paraId="1A81E8DA" w14:textId="77777777" w:rsidR="000655B7" w:rsidRPr="000655B7" w:rsidRDefault="000655B7" w:rsidP="00E37F9E">
      <w:pPr>
        <w:autoSpaceDE w:val="0"/>
        <w:autoSpaceDN w:val="0"/>
        <w:adjustRightInd w:val="0"/>
        <w:spacing w:after="0" w:line="240" w:lineRule="auto"/>
        <w:rPr>
          <w:rFonts w:ascii="Arial" w:hAnsi="Arial" w:cs="Arial"/>
          <w:color w:val="000000"/>
          <w:sz w:val="24"/>
          <w:szCs w:val="24"/>
        </w:rPr>
      </w:pPr>
    </w:p>
    <w:p w14:paraId="3EC26121" w14:textId="77777777" w:rsidR="00E37F9E" w:rsidRPr="000655B7" w:rsidRDefault="00E37F9E" w:rsidP="00E37F9E">
      <w:pPr>
        <w:autoSpaceDE w:val="0"/>
        <w:autoSpaceDN w:val="0"/>
        <w:adjustRightInd w:val="0"/>
        <w:spacing w:after="0" w:line="240" w:lineRule="auto"/>
        <w:rPr>
          <w:rFonts w:ascii="Arial" w:hAnsi="Arial" w:cs="Arial"/>
          <w:color w:val="000000"/>
          <w:sz w:val="20"/>
          <w:szCs w:val="20"/>
        </w:rPr>
      </w:pPr>
    </w:p>
    <w:p w14:paraId="4214F379" w14:textId="77777777" w:rsidR="00E37F9E" w:rsidRPr="000655B7" w:rsidRDefault="002757A3" w:rsidP="002757A3">
      <w:pPr>
        <w:autoSpaceDE w:val="0"/>
        <w:autoSpaceDN w:val="0"/>
        <w:adjustRightInd w:val="0"/>
        <w:spacing w:after="0" w:line="240" w:lineRule="auto"/>
        <w:ind w:right="-1984"/>
        <w:rPr>
          <w:rFonts w:ascii="Arial" w:hAnsi="Arial" w:cs="Arial"/>
          <w:b/>
          <w:color w:val="000000"/>
          <w:sz w:val="28"/>
          <w:szCs w:val="28"/>
        </w:rPr>
      </w:pPr>
      <w:r w:rsidRPr="000655B7">
        <w:rPr>
          <w:rFonts w:ascii="Arial" w:hAnsi="Arial" w:cs="Arial"/>
          <w:b/>
          <w:color w:val="000000"/>
          <w:sz w:val="28"/>
          <w:szCs w:val="28"/>
        </w:rPr>
        <w:t>IT-Kosten: Nach wie vor wenig Transparenz im Markt</w:t>
      </w:r>
    </w:p>
    <w:p w14:paraId="35A51C7D" w14:textId="40BC7FDC" w:rsidR="00E37F9E" w:rsidRPr="000655B7" w:rsidRDefault="002757A3" w:rsidP="000655B7">
      <w:pPr>
        <w:spacing w:line="360" w:lineRule="auto"/>
        <w:rPr>
          <w:rFonts w:ascii="Arial" w:hAnsi="Arial" w:cs="Tahoma"/>
          <w:sz w:val="20"/>
          <w:szCs w:val="20"/>
        </w:rPr>
      </w:pPr>
      <w:r w:rsidRPr="000655B7">
        <w:rPr>
          <w:rFonts w:ascii="Arial" w:hAnsi="Arial" w:cs="Tahoma"/>
          <w:sz w:val="20"/>
          <w:szCs w:val="20"/>
        </w:rPr>
        <w:t xml:space="preserve">Forschungsprojekt „Prozesskosten“ soll </w:t>
      </w:r>
      <w:r w:rsidR="00CD3EF6" w:rsidRPr="000655B7">
        <w:rPr>
          <w:rFonts w:ascii="Arial" w:hAnsi="Arial" w:cs="Tahoma"/>
          <w:sz w:val="20"/>
          <w:szCs w:val="20"/>
        </w:rPr>
        <w:t>Stadtwerke effizienter machen</w:t>
      </w:r>
    </w:p>
    <w:p w14:paraId="1A42BDF4" w14:textId="77777777" w:rsidR="00E37F9E" w:rsidRPr="000655B7" w:rsidRDefault="00E37F9E" w:rsidP="00E37F9E">
      <w:pPr>
        <w:autoSpaceDE w:val="0"/>
        <w:autoSpaceDN w:val="0"/>
        <w:adjustRightInd w:val="0"/>
        <w:spacing w:after="0" w:line="240" w:lineRule="auto"/>
        <w:rPr>
          <w:rFonts w:ascii="Arial" w:hAnsi="Arial" w:cs="Arial"/>
          <w:color w:val="000000"/>
          <w:sz w:val="20"/>
          <w:szCs w:val="20"/>
        </w:rPr>
      </w:pPr>
    </w:p>
    <w:p w14:paraId="0D7E0B9E" w14:textId="04C8B0B1" w:rsidR="0094694E" w:rsidRPr="000655B7" w:rsidRDefault="002757A3" w:rsidP="0094694E">
      <w:pPr>
        <w:spacing w:line="360" w:lineRule="auto"/>
        <w:rPr>
          <w:rFonts w:ascii="Arial" w:hAnsi="Arial" w:cs="Tahoma"/>
          <w:b/>
          <w:sz w:val="20"/>
          <w:szCs w:val="20"/>
        </w:rPr>
      </w:pPr>
      <w:r w:rsidRPr="000655B7">
        <w:rPr>
          <w:rFonts w:ascii="Arial" w:hAnsi="Arial" w:cs="Tahoma"/>
          <w:b/>
          <w:sz w:val="20"/>
          <w:szCs w:val="20"/>
        </w:rPr>
        <w:t xml:space="preserve">Wie hoch die </w:t>
      </w:r>
      <w:r w:rsidR="00E704E3" w:rsidRPr="000655B7">
        <w:rPr>
          <w:rFonts w:ascii="Arial" w:hAnsi="Arial" w:cs="Tahoma"/>
          <w:b/>
          <w:sz w:val="20"/>
          <w:szCs w:val="20"/>
        </w:rPr>
        <w:t>branchenspezifischen IT-</w:t>
      </w:r>
      <w:r w:rsidRPr="000655B7">
        <w:rPr>
          <w:rFonts w:ascii="Arial" w:hAnsi="Arial" w:cs="Tahoma"/>
          <w:b/>
          <w:sz w:val="20"/>
          <w:szCs w:val="20"/>
        </w:rPr>
        <w:t>Kosten</w:t>
      </w:r>
      <w:r w:rsidR="00E704E3" w:rsidRPr="000655B7">
        <w:rPr>
          <w:rFonts w:ascii="Arial" w:hAnsi="Arial" w:cs="Tahoma"/>
          <w:b/>
          <w:sz w:val="20"/>
          <w:szCs w:val="20"/>
        </w:rPr>
        <w:t xml:space="preserve"> bei den Versorgungsunte</w:t>
      </w:r>
      <w:r w:rsidR="00E704E3" w:rsidRPr="000655B7">
        <w:rPr>
          <w:rFonts w:ascii="Arial" w:hAnsi="Arial" w:cs="Tahoma"/>
          <w:b/>
          <w:sz w:val="20"/>
          <w:szCs w:val="20"/>
        </w:rPr>
        <w:t>r</w:t>
      </w:r>
      <w:r w:rsidR="00E704E3" w:rsidRPr="000655B7">
        <w:rPr>
          <w:rFonts w:ascii="Arial" w:hAnsi="Arial" w:cs="Tahoma"/>
          <w:b/>
          <w:sz w:val="20"/>
          <w:szCs w:val="20"/>
        </w:rPr>
        <w:t>nehmen</w:t>
      </w:r>
      <w:r w:rsidRPr="000655B7">
        <w:rPr>
          <w:rFonts w:ascii="Arial" w:hAnsi="Arial" w:cs="Tahoma"/>
          <w:b/>
          <w:sz w:val="20"/>
          <w:szCs w:val="20"/>
        </w:rPr>
        <w:t xml:space="preserve"> tatsächlich liegen</w:t>
      </w:r>
      <w:r w:rsidR="00E704E3" w:rsidRPr="000655B7">
        <w:rPr>
          <w:rFonts w:ascii="Arial" w:hAnsi="Arial" w:cs="Tahoma"/>
          <w:b/>
          <w:sz w:val="20"/>
          <w:szCs w:val="20"/>
        </w:rPr>
        <w:t xml:space="preserve">, kann derzeit nur gemutmaßt werden. Das ist das Ergebnis einer Kurzstudie, die der Prozesskostenspezialist </w:t>
      </w:r>
      <w:proofErr w:type="spellStart"/>
      <w:r w:rsidR="00E704E3" w:rsidRPr="000655B7">
        <w:rPr>
          <w:rFonts w:ascii="Arial" w:hAnsi="Arial" w:cs="Tahoma"/>
          <w:b/>
          <w:sz w:val="20"/>
          <w:szCs w:val="20"/>
        </w:rPr>
        <w:t>Vivax</w:t>
      </w:r>
      <w:proofErr w:type="spellEnd"/>
      <w:r w:rsidR="00E704E3" w:rsidRPr="000655B7">
        <w:rPr>
          <w:rFonts w:ascii="Arial" w:hAnsi="Arial" w:cs="Tahoma"/>
          <w:b/>
          <w:sz w:val="20"/>
          <w:szCs w:val="20"/>
        </w:rPr>
        <w:t xml:space="preserve"> durchgeführt hat. „Wir sehen zwar Trends, doch wie sich gezeigt hat, sind die wenigsten Energieunternehmen in der Lage, diese Kosten sauber au</w:t>
      </w:r>
      <w:r w:rsidR="00E704E3" w:rsidRPr="000655B7">
        <w:rPr>
          <w:rFonts w:ascii="Arial" w:hAnsi="Arial" w:cs="Tahoma"/>
          <w:b/>
          <w:sz w:val="20"/>
          <w:szCs w:val="20"/>
        </w:rPr>
        <w:t>f</w:t>
      </w:r>
      <w:r w:rsidR="00E704E3" w:rsidRPr="000655B7">
        <w:rPr>
          <w:rFonts w:ascii="Arial" w:hAnsi="Arial" w:cs="Tahoma"/>
          <w:b/>
          <w:sz w:val="20"/>
          <w:szCs w:val="20"/>
        </w:rPr>
        <w:t xml:space="preserve">zuschlüsseln. Dazu kommt, dass die meisten IT-Anbieter wenig Interesse an Transparenz </w:t>
      </w:r>
      <w:r w:rsidR="002A7E29" w:rsidRPr="000655B7">
        <w:rPr>
          <w:rFonts w:ascii="Arial" w:hAnsi="Arial" w:cs="Tahoma"/>
          <w:b/>
          <w:sz w:val="20"/>
          <w:szCs w:val="20"/>
        </w:rPr>
        <w:t xml:space="preserve">zeigen </w:t>
      </w:r>
      <w:r w:rsidR="00E704E3" w:rsidRPr="000655B7">
        <w:rPr>
          <w:rFonts w:ascii="Arial" w:hAnsi="Arial" w:cs="Tahoma"/>
          <w:b/>
          <w:sz w:val="20"/>
          <w:szCs w:val="20"/>
        </w:rPr>
        <w:t xml:space="preserve">und ihre Mitarbeit an </w:t>
      </w:r>
      <w:r w:rsidR="000655B7">
        <w:rPr>
          <w:rFonts w:ascii="Arial" w:hAnsi="Arial" w:cs="Tahoma"/>
          <w:b/>
          <w:sz w:val="20"/>
          <w:szCs w:val="20"/>
        </w:rPr>
        <w:t>der</w:t>
      </w:r>
      <w:r w:rsidR="00E704E3" w:rsidRPr="000655B7">
        <w:rPr>
          <w:rFonts w:ascii="Arial" w:hAnsi="Arial" w:cs="Tahoma"/>
          <w:b/>
          <w:sz w:val="20"/>
          <w:szCs w:val="20"/>
        </w:rPr>
        <w:t xml:space="preserve"> Studie verweigert haben“, fasst </w:t>
      </w:r>
      <w:proofErr w:type="spellStart"/>
      <w:r w:rsidR="00E704E3" w:rsidRPr="000655B7">
        <w:rPr>
          <w:rFonts w:ascii="Arial" w:hAnsi="Arial" w:cs="Tahoma"/>
          <w:b/>
          <w:sz w:val="20"/>
          <w:szCs w:val="20"/>
        </w:rPr>
        <w:t>Vivax</w:t>
      </w:r>
      <w:proofErr w:type="spellEnd"/>
      <w:r w:rsidR="00E704E3" w:rsidRPr="000655B7">
        <w:rPr>
          <w:rFonts w:ascii="Arial" w:hAnsi="Arial" w:cs="Tahoma"/>
          <w:b/>
          <w:sz w:val="20"/>
          <w:szCs w:val="20"/>
        </w:rPr>
        <w:t xml:space="preserve">-Geschäftsführer Dirk </w:t>
      </w:r>
      <w:proofErr w:type="spellStart"/>
      <w:r w:rsidR="00E704E3" w:rsidRPr="000655B7">
        <w:rPr>
          <w:rFonts w:ascii="Arial" w:hAnsi="Arial" w:cs="Tahoma"/>
          <w:b/>
          <w:sz w:val="20"/>
          <w:szCs w:val="20"/>
        </w:rPr>
        <w:t>Fieml</w:t>
      </w:r>
      <w:proofErr w:type="spellEnd"/>
      <w:r w:rsidR="00E704E3" w:rsidRPr="000655B7">
        <w:rPr>
          <w:rFonts w:ascii="Arial" w:hAnsi="Arial" w:cs="Tahoma"/>
          <w:b/>
          <w:sz w:val="20"/>
          <w:szCs w:val="20"/>
        </w:rPr>
        <w:t xml:space="preserve"> die Ergebnisse zusammen. „Au</w:t>
      </w:r>
      <w:r w:rsidR="00E704E3" w:rsidRPr="000655B7">
        <w:rPr>
          <w:rFonts w:ascii="Arial" w:hAnsi="Arial" w:cs="Tahoma"/>
          <w:b/>
          <w:sz w:val="20"/>
          <w:szCs w:val="20"/>
        </w:rPr>
        <w:t>s</w:t>
      </w:r>
      <w:r w:rsidR="00E704E3" w:rsidRPr="000655B7">
        <w:rPr>
          <w:rFonts w:ascii="Arial" w:hAnsi="Arial" w:cs="Tahoma"/>
          <w:b/>
          <w:sz w:val="20"/>
          <w:szCs w:val="20"/>
        </w:rPr>
        <w:t xml:space="preserve">sagen zu IT-Prozesskosten, wie sie im Vertrieb </w:t>
      </w:r>
      <w:r w:rsidR="00CC44E9">
        <w:rPr>
          <w:rFonts w:ascii="Arial" w:hAnsi="Arial" w:cs="Tahoma"/>
          <w:b/>
          <w:sz w:val="20"/>
          <w:szCs w:val="20"/>
        </w:rPr>
        <w:t>von</w:t>
      </w:r>
      <w:r w:rsidR="00E704E3" w:rsidRPr="000655B7">
        <w:rPr>
          <w:rFonts w:ascii="Arial" w:hAnsi="Arial" w:cs="Tahoma"/>
          <w:b/>
          <w:sz w:val="20"/>
          <w:szCs w:val="20"/>
        </w:rPr>
        <w:t xml:space="preserve"> </w:t>
      </w:r>
      <w:r w:rsidR="00CC44E9">
        <w:rPr>
          <w:rFonts w:ascii="Arial" w:hAnsi="Arial" w:cs="Tahoma"/>
          <w:b/>
          <w:sz w:val="20"/>
          <w:szCs w:val="20"/>
        </w:rPr>
        <w:t>Softwareanbietern oder von anderen ‚Experten’</w:t>
      </w:r>
      <w:r w:rsidR="00E704E3" w:rsidRPr="000655B7">
        <w:rPr>
          <w:rFonts w:ascii="Arial" w:hAnsi="Arial" w:cs="Tahoma"/>
          <w:b/>
          <w:sz w:val="20"/>
          <w:szCs w:val="20"/>
        </w:rPr>
        <w:t xml:space="preserve"> gerne </w:t>
      </w:r>
      <w:r w:rsidR="0094694E" w:rsidRPr="000655B7">
        <w:rPr>
          <w:rFonts w:ascii="Arial" w:hAnsi="Arial" w:cs="Tahoma"/>
          <w:b/>
          <w:sz w:val="20"/>
          <w:szCs w:val="20"/>
        </w:rPr>
        <w:t>gemacht</w:t>
      </w:r>
      <w:r w:rsidR="00E704E3" w:rsidRPr="000655B7">
        <w:rPr>
          <w:rFonts w:ascii="Arial" w:hAnsi="Arial" w:cs="Tahoma"/>
          <w:b/>
          <w:sz w:val="20"/>
          <w:szCs w:val="20"/>
        </w:rPr>
        <w:t xml:space="preserve"> werden, </w:t>
      </w:r>
      <w:r w:rsidR="00CC44E9">
        <w:rPr>
          <w:rFonts w:ascii="Arial" w:hAnsi="Arial" w:cs="Tahoma"/>
          <w:b/>
          <w:sz w:val="20"/>
          <w:szCs w:val="20"/>
        </w:rPr>
        <w:t>entbehren deswegen meist jeder soliden Grundlage</w:t>
      </w:r>
      <w:r w:rsidR="00E704E3" w:rsidRPr="000655B7">
        <w:rPr>
          <w:rFonts w:ascii="Arial" w:hAnsi="Arial" w:cs="Tahoma"/>
          <w:b/>
          <w:sz w:val="20"/>
          <w:szCs w:val="20"/>
        </w:rPr>
        <w:t xml:space="preserve">“, so </w:t>
      </w:r>
      <w:proofErr w:type="spellStart"/>
      <w:r w:rsidR="00E704E3" w:rsidRPr="000655B7">
        <w:rPr>
          <w:rFonts w:ascii="Arial" w:hAnsi="Arial" w:cs="Tahoma"/>
          <w:b/>
          <w:sz w:val="20"/>
          <w:szCs w:val="20"/>
        </w:rPr>
        <w:t>Fieml</w:t>
      </w:r>
      <w:proofErr w:type="spellEnd"/>
      <w:r w:rsidR="00E704E3" w:rsidRPr="000655B7">
        <w:rPr>
          <w:rFonts w:ascii="Arial" w:hAnsi="Arial" w:cs="Tahoma"/>
          <w:b/>
          <w:sz w:val="20"/>
          <w:szCs w:val="20"/>
        </w:rPr>
        <w:t xml:space="preserve"> weiter. Abhilfe soll hier nun ein Forschungsprojekt des </w:t>
      </w:r>
      <w:proofErr w:type="spellStart"/>
      <w:r w:rsidR="00E704E3" w:rsidRPr="000655B7">
        <w:rPr>
          <w:rFonts w:ascii="Arial" w:hAnsi="Arial" w:cs="Tahoma"/>
          <w:b/>
          <w:sz w:val="20"/>
          <w:szCs w:val="20"/>
        </w:rPr>
        <w:t>Steinbeis</w:t>
      </w:r>
      <w:proofErr w:type="spellEnd"/>
      <w:r w:rsidR="00E704E3" w:rsidRPr="000655B7">
        <w:rPr>
          <w:rFonts w:ascii="Arial" w:hAnsi="Arial" w:cs="Tahoma"/>
          <w:b/>
          <w:sz w:val="20"/>
          <w:szCs w:val="20"/>
        </w:rPr>
        <w:t xml:space="preserve"> Transfer Instituts Energiewirtschaft an der </w:t>
      </w:r>
      <w:proofErr w:type="spellStart"/>
      <w:r w:rsidR="00E704E3" w:rsidRPr="000655B7">
        <w:rPr>
          <w:rFonts w:ascii="Arial" w:hAnsi="Arial" w:cs="Tahoma"/>
          <w:b/>
          <w:sz w:val="20"/>
          <w:szCs w:val="20"/>
        </w:rPr>
        <w:t>Steinbeis</w:t>
      </w:r>
      <w:proofErr w:type="spellEnd"/>
      <w:r w:rsidR="00E704E3" w:rsidRPr="000655B7">
        <w:rPr>
          <w:rFonts w:ascii="Arial" w:hAnsi="Arial" w:cs="Tahoma"/>
          <w:b/>
          <w:sz w:val="20"/>
          <w:szCs w:val="20"/>
        </w:rPr>
        <w:t xml:space="preserve"> Hochschule Berlin</w:t>
      </w:r>
      <w:r w:rsidR="00E704E3" w:rsidRPr="000655B7">
        <w:rPr>
          <w:rFonts w:ascii="Arial" w:hAnsi="Arial" w:cs="Tahoma"/>
          <w:sz w:val="20"/>
          <w:szCs w:val="20"/>
        </w:rPr>
        <w:t xml:space="preserve"> </w:t>
      </w:r>
      <w:r w:rsidR="00E704E3" w:rsidRPr="000655B7">
        <w:rPr>
          <w:rFonts w:ascii="Arial" w:hAnsi="Arial" w:cs="Tahoma"/>
          <w:b/>
          <w:sz w:val="20"/>
          <w:szCs w:val="20"/>
        </w:rPr>
        <w:t>schaffen, bei dem die Prozesskosten kleinerer und mittlerer Stadtwerke genau unter die Lupe genommen we</w:t>
      </w:r>
      <w:r w:rsidR="00E704E3" w:rsidRPr="000655B7">
        <w:rPr>
          <w:rFonts w:ascii="Arial" w:hAnsi="Arial" w:cs="Tahoma"/>
          <w:b/>
          <w:sz w:val="20"/>
          <w:szCs w:val="20"/>
        </w:rPr>
        <w:t>r</w:t>
      </w:r>
      <w:r w:rsidR="00E704E3" w:rsidRPr="000655B7">
        <w:rPr>
          <w:rFonts w:ascii="Arial" w:hAnsi="Arial" w:cs="Tahoma"/>
          <w:b/>
          <w:sz w:val="20"/>
          <w:szCs w:val="20"/>
        </w:rPr>
        <w:t xml:space="preserve">den. </w:t>
      </w:r>
    </w:p>
    <w:p w14:paraId="379054EF" w14:textId="3F713369" w:rsidR="002A7E29" w:rsidRPr="000655B7" w:rsidRDefault="0094694E" w:rsidP="002A7E29">
      <w:pPr>
        <w:spacing w:line="360" w:lineRule="auto"/>
        <w:rPr>
          <w:rFonts w:ascii="Arial" w:hAnsi="Arial" w:cs="Tahoma"/>
          <w:sz w:val="20"/>
          <w:szCs w:val="20"/>
        </w:rPr>
      </w:pPr>
      <w:r w:rsidRPr="000655B7">
        <w:rPr>
          <w:rFonts w:ascii="Arial" w:hAnsi="Arial" w:cs="Tahoma"/>
          <w:sz w:val="20"/>
          <w:szCs w:val="20"/>
        </w:rPr>
        <w:t>Dabei soll untersucht werden, inwieweit sich Optimierungsansätze kurz-, mittel- und langfristig in den Ergebnissen der Stadtwerke real widerspiegeln. „Wir rufen die Stadtwerke auf, sich möglichst zahlreich an diesem Forschungsprojekt zu beteiligen – im eigenen Interesse! Denn i</w:t>
      </w:r>
      <w:r w:rsidR="00E704E3" w:rsidRPr="000655B7">
        <w:rPr>
          <w:rFonts w:ascii="Arial" w:hAnsi="Arial" w:cs="Tahoma"/>
          <w:sz w:val="20"/>
          <w:szCs w:val="20"/>
        </w:rPr>
        <w:t xml:space="preserve">nsbesondere vor dem steigenden Druck der Bundesnetzagentur, weiterhin die Kosten zu senken, werden die Erkenntnisse aus dem Forschungsprojekt hilfreich für die </w:t>
      </w:r>
      <w:r w:rsidRPr="000655B7">
        <w:rPr>
          <w:rFonts w:ascii="Arial" w:hAnsi="Arial" w:cs="Tahoma"/>
          <w:sz w:val="20"/>
          <w:szCs w:val="20"/>
        </w:rPr>
        <w:t xml:space="preserve">eigene Positionierung sein“, betont Dirk </w:t>
      </w:r>
      <w:proofErr w:type="spellStart"/>
      <w:r w:rsidRPr="000655B7">
        <w:rPr>
          <w:rFonts w:ascii="Arial" w:hAnsi="Arial" w:cs="Tahoma"/>
          <w:sz w:val="20"/>
          <w:szCs w:val="20"/>
        </w:rPr>
        <w:t>Fieml</w:t>
      </w:r>
      <w:proofErr w:type="spellEnd"/>
      <w:r w:rsidRPr="000655B7">
        <w:rPr>
          <w:rFonts w:ascii="Arial" w:hAnsi="Arial" w:cs="Tahoma"/>
          <w:sz w:val="20"/>
          <w:szCs w:val="20"/>
        </w:rPr>
        <w:t xml:space="preserve">, der die Arbeit des </w:t>
      </w:r>
      <w:proofErr w:type="spellStart"/>
      <w:r w:rsidRPr="000655B7">
        <w:rPr>
          <w:rFonts w:ascii="Arial" w:hAnsi="Arial" w:cs="Tahoma"/>
          <w:sz w:val="20"/>
          <w:szCs w:val="20"/>
        </w:rPr>
        <w:t>Steinbeis</w:t>
      </w:r>
      <w:proofErr w:type="spellEnd"/>
      <w:r w:rsidRPr="000655B7">
        <w:rPr>
          <w:rFonts w:ascii="Arial" w:hAnsi="Arial" w:cs="Tahoma"/>
          <w:sz w:val="20"/>
          <w:szCs w:val="20"/>
        </w:rPr>
        <w:t xml:space="preserve"> Transfer Instituts Energi</w:t>
      </w:r>
      <w:r w:rsidRPr="000655B7">
        <w:rPr>
          <w:rFonts w:ascii="Arial" w:hAnsi="Arial" w:cs="Tahoma"/>
          <w:sz w:val="20"/>
          <w:szCs w:val="20"/>
        </w:rPr>
        <w:t>e</w:t>
      </w:r>
      <w:r w:rsidRPr="000655B7">
        <w:rPr>
          <w:rFonts w:ascii="Arial" w:hAnsi="Arial" w:cs="Tahoma"/>
          <w:sz w:val="20"/>
          <w:szCs w:val="20"/>
        </w:rPr>
        <w:t>wirtschaft sowohl als Leiter wie auch mit seinem Unternehmen aktiv unterstützt.</w:t>
      </w:r>
      <w:r w:rsidR="002A7E29" w:rsidRPr="000655B7">
        <w:rPr>
          <w:rFonts w:ascii="Arial" w:hAnsi="Arial" w:cs="Tahoma"/>
          <w:sz w:val="20"/>
          <w:szCs w:val="20"/>
        </w:rPr>
        <w:t xml:space="preserve"> „Mittelfristig wollen wir eine Datenbasis aufbauen, die es Versorgungsunte</w:t>
      </w:r>
      <w:r w:rsidR="002A7E29" w:rsidRPr="000655B7">
        <w:rPr>
          <w:rFonts w:ascii="Arial" w:hAnsi="Arial" w:cs="Tahoma"/>
          <w:sz w:val="20"/>
          <w:szCs w:val="20"/>
        </w:rPr>
        <w:t>r</w:t>
      </w:r>
      <w:r w:rsidR="002A7E29" w:rsidRPr="000655B7">
        <w:rPr>
          <w:rFonts w:ascii="Arial" w:hAnsi="Arial" w:cs="Tahoma"/>
          <w:sz w:val="20"/>
          <w:szCs w:val="20"/>
        </w:rPr>
        <w:t>nehmen erlaubt, sich im Rahmen anonymer Benchmarks mit anderen, ähnlich strukturierten Energieunternehmen zu vergleichen. Gerade vor dem Hinte</w:t>
      </w:r>
      <w:r w:rsidR="002A7E29" w:rsidRPr="000655B7">
        <w:rPr>
          <w:rFonts w:ascii="Arial" w:hAnsi="Arial" w:cs="Tahoma"/>
          <w:sz w:val="20"/>
          <w:szCs w:val="20"/>
        </w:rPr>
        <w:t>r</w:t>
      </w:r>
      <w:r w:rsidR="002A7E29" w:rsidRPr="000655B7">
        <w:rPr>
          <w:rFonts w:ascii="Arial" w:hAnsi="Arial" w:cs="Tahoma"/>
          <w:sz w:val="20"/>
          <w:szCs w:val="20"/>
        </w:rPr>
        <w:t xml:space="preserve">grund der kommenden Regulierungsperiode können sie so schnell und einfach erkennen, welche Geschäftsprozesse Potenziale für eine Optimierung bieten, oder wo dies nur mit hohem Aufwand zu erreichen ist“, beschreibt Dirk </w:t>
      </w:r>
      <w:proofErr w:type="spellStart"/>
      <w:r w:rsidR="002A7E29" w:rsidRPr="000655B7">
        <w:rPr>
          <w:rFonts w:ascii="Arial" w:hAnsi="Arial" w:cs="Tahoma"/>
          <w:sz w:val="20"/>
          <w:szCs w:val="20"/>
        </w:rPr>
        <w:t>Fieml</w:t>
      </w:r>
      <w:proofErr w:type="spellEnd"/>
      <w:r w:rsidR="002A7E29" w:rsidRPr="000655B7">
        <w:rPr>
          <w:rFonts w:ascii="Arial" w:hAnsi="Arial" w:cs="Tahoma"/>
          <w:sz w:val="20"/>
          <w:szCs w:val="20"/>
        </w:rPr>
        <w:t xml:space="preserve"> den Ansatz.</w:t>
      </w:r>
    </w:p>
    <w:p w14:paraId="371738EE" w14:textId="77777777" w:rsidR="00E37F9E" w:rsidRPr="000655B7" w:rsidRDefault="00E37F9E" w:rsidP="0094694E">
      <w:pPr>
        <w:spacing w:line="360" w:lineRule="auto"/>
        <w:rPr>
          <w:rFonts w:ascii="Arial" w:hAnsi="Arial" w:cs="Tahoma"/>
          <w:sz w:val="20"/>
          <w:szCs w:val="20"/>
        </w:rPr>
      </w:pPr>
    </w:p>
    <w:p w14:paraId="10EFCFB7" w14:textId="11668B4B" w:rsidR="0094694E" w:rsidRPr="000655B7" w:rsidRDefault="002A7E29" w:rsidP="0094694E">
      <w:pPr>
        <w:spacing w:line="360" w:lineRule="auto"/>
        <w:rPr>
          <w:rFonts w:ascii="Arial" w:hAnsi="Arial" w:cs="Tahoma"/>
          <w:sz w:val="20"/>
          <w:szCs w:val="20"/>
        </w:rPr>
      </w:pPr>
      <w:r w:rsidRPr="000655B7">
        <w:rPr>
          <w:rFonts w:ascii="Arial" w:hAnsi="Arial" w:cs="Tahoma"/>
          <w:b/>
          <w:sz w:val="20"/>
          <w:szCs w:val="20"/>
        </w:rPr>
        <w:t>Prozesskosten softwarebasiert ermitteln</w:t>
      </w:r>
      <w:r w:rsidRPr="000655B7">
        <w:rPr>
          <w:rFonts w:ascii="Arial" w:hAnsi="Arial" w:cs="Tahoma"/>
          <w:sz w:val="20"/>
          <w:szCs w:val="20"/>
        </w:rPr>
        <w:br/>
        <w:t>Zum Einsatz kommt beim</w:t>
      </w:r>
      <w:r w:rsidR="0094694E" w:rsidRPr="000655B7">
        <w:rPr>
          <w:rFonts w:ascii="Arial" w:hAnsi="Arial" w:cs="Tahoma"/>
          <w:sz w:val="20"/>
          <w:szCs w:val="20"/>
        </w:rPr>
        <w:t xml:space="preserve"> Forschungsprojekt „Prozesskosten“ die Software PS-</w:t>
      </w:r>
      <w:proofErr w:type="spellStart"/>
      <w:r w:rsidR="0094694E" w:rsidRPr="000655B7">
        <w:rPr>
          <w:rFonts w:ascii="Arial" w:hAnsi="Arial" w:cs="Tahoma"/>
          <w:sz w:val="20"/>
          <w:szCs w:val="20"/>
        </w:rPr>
        <w:t>Energy</w:t>
      </w:r>
      <w:proofErr w:type="spellEnd"/>
      <w:r w:rsidR="0094694E" w:rsidRPr="000655B7">
        <w:rPr>
          <w:rFonts w:ascii="Arial" w:hAnsi="Arial" w:cs="Tahoma"/>
          <w:sz w:val="20"/>
          <w:szCs w:val="20"/>
        </w:rPr>
        <w:t xml:space="preserve">, die </w:t>
      </w:r>
      <w:proofErr w:type="spellStart"/>
      <w:r w:rsidR="0094694E" w:rsidRPr="000655B7">
        <w:rPr>
          <w:rFonts w:ascii="Arial" w:hAnsi="Arial" w:cs="Tahoma"/>
          <w:sz w:val="20"/>
          <w:szCs w:val="20"/>
        </w:rPr>
        <w:t>Vivax</w:t>
      </w:r>
      <w:proofErr w:type="spellEnd"/>
      <w:r w:rsidR="0094694E" w:rsidRPr="000655B7">
        <w:rPr>
          <w:rFonts w:ascii="Arial" w:hAnsi="Arial" w:cs="Tahoma"/>
          <w:sz w:val="20"/>
          <w:szCs w:val="20"/>
        </w:rPr>
        <w:t xml:space="preserve"> gemeinsam mit dem Partner Wilken entwickelt hat.</w:t>
      </w:r>
      <w:r w:rsidR="00CD3EF6" w:rsidRPr="000655B7">
        <w:rPr>
          <w:rFonts w:ascii="Arial" w:hAnsi="Arial" w:cs="Tahoma"/>
          <w:sz w:val="20"/>
          <w:szCs w:val="20"/>
        </w:rPr>
        <w:t xml:space="preserve"> In der Software ist ein komplettes Prozessmodell für Versorgungsunternehmen hinte</w:t>
      </w:r>
      <w:r w:rsidR="00CD3EF6" w:rsidRPr="000655B7">
        <w:rPr>
          <w:rFonts w:ascii="Arial" w:hAnsi="Arial" w:cs="Tahoma"/>
          <w:sz w:val="20"/>
          <w:szCs w:val="20"/>
        </w:rPr>
        <w:t>r</w:t>
      </w:r>
      <w:r w:rsidR="00CD3EF6" w:rsidRPr="000655B7">
        <w:rPr>
          <w:rFonts w:ascii="Arial" w:hAnsi="Arial" w:cs="Tahoma"/>
          <w:sz w:val="20"/>
          <w:szCs w:val="20"/>
        </w:rPr>
        <w:t xml:space="preserve">legt, welches flexibel angepasst werden kann. Das Modell umfasst bereits rund 700 Prozesse und mehrere Tausend zugehörige Tätigkeiten. </w:t>
      </w:r>
      <w:r w:rsidRPr="000655B7">
        <w:rPr>
          <w:rFonts w:ascii="Arial" w:hAnsi="Arial" w:cs="Tahoma"/>
          <w:sz w:val="20"/>
          <w:szCs w:val="20"/>
        </w:rPr>
        <w:t>Um die Vergleic</w:t>
      </w:r>
      <w:r w:rsidRPr="000655B7">
        <w:rPr>
          <w:rFonts w:ascii="Arial" w:hAnsi="Arial" w:cs="Tahoma"/>
          <w:sz w:val="20"/>
          <w:szCs w:val="20"/>
        </w:rPr>
        <w:t>h</w:t>
      </w:r>
      <w:r w:rsidRPr="000655B7">
        <w:rPr>
          <w:rFonts w:ascii="Arial" w:hAnsi="Arial" w:cs="Tahoma"/>
          <w:sz w:val="20"/>
          <w:szCs w:val="20"/>
        </w:rPr>
        <w:t xml:space="preserve">barkeit der Ergebnisse auf einer möglichst breiten Basis zu sichern, bieten </w:t>
      </w:r>
      <w:proofErr w:type="spellStart"/>
      <w:r w:rsidRPr="000655B7">
        <w:rPr>
          <w:rFonts w:ascii="Arial" w:hAnsi="Arial" w:cs="Tahoma"/>
          <w:sz w:val="20"/>
          <w:szCs w:val="20"/>
        </w:rPr>
        <w:t>V</w:t>
      </w:r>
      <w:r w:rsidRPr="000655B7">
        <w:rPr>
          <w:rFonts w:ascii="Arial" w:hAnsi="Arial" w:cs="Tahoma"/>
          <w:sz w:val="20"/>
          <w:szCs w:val="20"/>
        </w:rPr>
        <w:t>i</w:t>
      </w:r>
      <w:r w:rsidRPr="000655B7">
        <w:rPr>
          <w:rFonts w:ascii="Arial" w:hAnsi="Arial" w:cs="Tahoma"/>
          <w:sz w:val="20"/>
          <w:szCs w:val="20"/>
        </w:rPr>
        <w:t>vax</w:t>
      </w:r>
      <w:proofErr w:type="spellEnd"/>
      <w:r w:rsidRPr="000655B7">
        <w:rPr>
          <w:rFonts w:ascii="Arial" w:hAnsi="Arial" w:cs="Tahoma"/>
          <w:sz w:val="20"/>
          <w:szCs w:val="20"/>
        </w:rPr>
        <w:t xml:space="preserve"> und Wilken auch anderen IT- und Bera</w:t>
      </w:r>
      <w:r w:rsidR="000655B7">
        <w:rPr>
          <w:rFonts w:ascii="Arial" w:hAnsi="Arial" w:cs="Tahoma"/>
          <w:sz w:val="20"/>
          <w:szCs w:val="20"/>
        </w:rPr>
        <w:t>tungshäusern an</w:t>
      </w:r>
      <w:r w:rsidRPr="000655B7">
        <w:rPr>
          <w:rFonts w:ascii="Arial" w:hAnsi="Arial" w:cs="Tahoma"/>
          <w:sz w:val="20"/>
          <w:szCs w:val="20"/>
        </w:rPr>
        <w:t>, die Lösung für die Unterstützung der eigenen Kunden einzusetzen. Deswegen wurde PS-</w:t>
      </w:r>
      <w:proofErr w:type="spellStart"/>
      <w:r w:rsidRPr="000655B7">
        <w:rPr>
          <w:rFonts w:ascii="Arial" w:hAnsi="Arial" w:cs="Tahoma"/>
          <w:sz w:val="20"/>
          <w:szCs w:val="20"/>
        </w:rPr>
        <w:t>Energy</w:t>
      </w:r>
      <w:proofErr w:type="spellEnd"/>
      <w:r w:rsidRPr="000655B7">
        <w:rPr>
          <w:rFonts w:ascii="Arial" w:hAnsi="Arial" w:cs="Tahoma"/>
          <w:sz w:val="20"/>
          <w:szCs w:val="20"/>
        </w:rPr>
        <w:t xml:space="preserve"> auch als offenes System entwickelt, mit de</w:t>
      </w:r>
      <w:r w:rsidR="000655B7">
        <w:rPr>
          <w:rFonts w:ascii="Arial" w:hAnsi="Arial" w:cs="Tahoma"/>
          <w:sz w:val="20"/>
          <w:szCs w:val="20"/>
        </w:rPr>
        <w:t>m</w:t>
      </w:r>
      <w:r w:rsidRPr="000655B7">
        <w:rPr>
          <w:rFonts w:ascii="Arial" w:hAnsi="Arial" w:cs="Tahoma"/>
          <w:sz w:val="20"/>
          <w:szCs w:val="20"/>
        </w:rPr>
        <w:t xml:space="preserve"> Kosteninformationen nicht nur aus den Branchenlösungen von Wilken und Wilken </w:t>
      </w:r>
      <w:proofErr w:type="spellStart"/>
      <w:r w:rsidRPr="000655B7">
        <w:rPr>
          <w:rFonts w:ascii="Arial" w:hAnsi="Arial" w:cs="Tahoma"/>
          <w:sz w:val="20"/>
          <w:szCs w:val="20"/>
        </w:rPr>
        <w:t>Neutrasoft</w:t>
      </w:r>
      <w:proofErr w:type="spellEnd"/>
      <w:r w:rsidRPr="000655B7">
        <w:rPr>
          <w:rFonts w:ascii="Arial" w:hAnsi="Arial" w:cs="Tahoma"/>
          <w:sz w:val="20"/>
          <w:szCs w:val="20"/>
        </w:rPr>
        <w:t xml:space="preserve"> übernommen werden können, sondern auch aus allen anderen gängigen Systemen wie SAP, Schleupen oder SIV. „Dieser herstellerunabhängige Ansatz bietet erstmals die Chance für Energieversorger, das Thema Prozesskosten auf einfache Weis</w:t>
      </w:r>
      <w:r w:rsidR="000655B7">
        <w:rPr>
          <w:rFonts w:ascii="Arial" w:hAnsi="Arial" w:cs="Tahoma"/>
          <w:sz w:val="20"/>
          <w:szCs w:val="20"/>
        </w:rPr>
        <w:t>e und ohne großen Aufwand in den</w:t>
      </w:r>
      <w:r w:rsidRPr="000655B7">
        <w:rPr>
          <w:rFonts w:ascii="Arial" w:hAnsi="Arial" w:cs="Tahoma"/>
          <w:sz w:val="20"/>
          <w:szCs w:val="20"/>
        </w:rPr>
        <w:t xml:space="preserve"> Griff zu bekommen. Das hilft nicht nur ung</w:t>
      </w:r>
      <w:r w:rsidRPr="000655B7">
        <w:rPr>
          <w:rFonts w:ascii="Arial" w:hAnsi="Arial" w:cs="Tahoma"/>
          <w:sz w:val="20"/>
          <w:szCs w:val="20"/>
        </w:rPr>
        <w:t>e</w:t>
      </w:r>
      <w:r w:rsidRPr="000655B7">
        <w:rPr>
          <w:rFonts w:ascii="Arial" w:hAnsi="Arial" w:cs="Tahoma"/>
          <w:sz w:val="20"/>
          <w:szCs w:val="20"/>
        </w:rPr>
        <w:t xml:space="preserve">mein bei der Kommunikation mit der Bundesnetzagentur, sondern bietet die Möglichkeit, die eigene Wettbewerbsfähigkeit langfristig zu sichern“, fasst </w:t>
      </w:r>
      <w:proofErr w:type="spellStart"/>
      <w:r w:rsidRPr="000655B7">
        <w:rPr>
          <w:rFonts w:ascii="Arial" w:hAnsi="Arial" w:cs="Tahoma"/>
          <w:sz w:val="20"/>
          <w:szCs w:val="20"/>
        </w:rPr>
        <w:t>Fieml</w:t>
      </w:r>
      <w:proofErr w:type="spellEnd"/>
      <w:r w:rsidRPr="000655B7">
        <w:rPr>
          <w:rFonts w:ascii="Arial" w:hAnsi="Arial" w:cs="Tahoma"/>
          <w:sz w:val="20"/>
          <w:szCs w:val="20"/>
        </w:rPr>
        <w:t xml:space="preserve"> zusammen.</w:t>
      </w:r>
    </w:p>
    <w:p w14:paraId="5B005D5F" w14:textId="77777777" w:rsidR="00463FE6" w:rsidRPr="000655B7" w:rsidRDefault="00463FE6" w:rsidP="00E37F9E">
      <w:pPr>
        <w:rPr>
          <w:rFonts w:ascii="Arial" w:hAnsi="Arial" w:cs="Tahoma"/>
          <w:sz w:val="20"/>
          <w:szCs w:val="20"/>
        </w:rPr>
      </w:pPr>
    </w:p>
    <w:tbl>
      <w:tblPr>
        <w:tblW w:w="9180" w:type="dxa"/>
        <w:tblLook w:val="04A0" w:firstRow="1" w:lastRow="0" w:firstColumn="1" w:lastColumn="0" w:noHBand="0" w:noVBand="1"/>
      </w:tblPr>
      <w:tblGrid>
        <w:gridCol w:w="4361"/>
        <w:gridCol w:w="4819"/>
      </w:tblGrid>
      <w:tr w:rsidR="00CD3EF6" w:rsidRPr="000655B7" w14:paraId="776D8C01" w14:textId="77777777" w:rsidTr="00CD3EF6">
        <w:tc>
          <w:tcPr>
            <w:tcW w:w="4361" w:type="dxa"/>
            <w:shd w:val="clear" w:color="auto" w:fill="auto"/>
          </w:tcPr>
          <w:p w14:paraId="380AE0B3" w14:textId="2385A564" w:rsidR="00CD3EF6" w:rsidRPr="000655B7" w:rsidRDefault="00CD3EF6" w:rsidP="00CD3EF6">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0655B7">
              <w:rPr>
                <w:rFonts w:ascii="Arial" w:hAnsi="Arial" w:cs="Calibri"/>
                <w:b/>
                <w:sz w:val="16"/>
                <w:szCs w:val="26"/>
                <w:lang w:eastAsia="de-DE"/>
              </w:rPr>
              <w:t>Kontaktdaten:</w:t>
            </w:r>
            <w:r w:rsidRPr="000655B7">
              <w:rPr>
                <w:rFonts w:ascii="Arial" w:hAnsi="Arial" w:cs="Calibri"/>
                <w:b/>
                <w:sz w:val="16"/>
                <w:szCs w:val="26"/>
                <w:lang w:eastAsia="de-DE"/>
              </w:rPr>
              <w:br/>
            </w:r>
            <w:proofErr w:type="spellStart"/>
            <w:r w:rsidRPr="000655B7">
              <w:rPr>
                <w:rFonts w:ascii="Arial" w:hAnsi="Arial" w:cs="Calibri"/>
                <w:sz w:val="16"/>
                <w:szCs w:val="26"/>
                <w:lang w:eastAsia="de-DE"/>
              </w:rPr>
              <w:t>Vivax</w:t>
            </w:r>
            <w:proofErr w:type="spellEnd"/>
            <w:r w:rsidRPr="000655B7">
              <w:rPr>
                <w:rFonts w:ascii="Arial" w:hAnsi="Arial" w:cs="Calibri"/>
                <w:sz w:val="16"/>
                <w:szCs w:val="26"/>
                <w:lang w:eastAsia="de-DE"/>
              </w:rPr>
              <w:t xml:space="preserve"> GmbH – Dirk </w:t>
            </w:r>
            <w:proofErr w:type="spellStart"/>
            <w:r w:rsidRPr="000655B7">
              <w:rPr>
                <w:rFonts w:ascii="Arial" w:hAnsi="Arial" w:cs="Calibri"/>
                <w:sz w:val="16"/>
                <w:szCs w:val="26"/>
                <w:lang w:eastAsia="de-DE"/>
              </w:rPr>
              <w:t>Fieml</w:t>
            </w:r>
            <w:proofErr w:type="spellEnd"/>
            <w:r w:rsidRPr="000655B7">
              <w:rPr>
                <w:rFonts w:ascii="Arial" w:hAnsi="Arial" w:cs="Calibri"/>
                <w:sz w:val="16"/>
                <w:szCs w:val="26"/>
                <w:lang w:eastAsia="de-DE"/>
              </w:rPr>
              <w:br/>
              <w:t xml:space="preserve">Gutenbergstraße 9 – 85098 </w:t>
            </w:r>
            <w:proofErr w:type="spellStart"/>
            <w:r w:rsidRPr="000655B7">
              <w:rPr>
                <w:rFonts w:ascii="Arial" w:hAnsi="Arial" w:cs="Calibri"/>
                <w:sz w:val="16"/>
                <w:szCs w:val="26"/>
                <w:lang w:eastAsia="de-DE"/>
              </w:rPr>
              <w:t>Großmehring</w:t>
            </w:r>
            <w:proofErr w:type="spellEnd"/>
            <w:r w:rsidRPr="000655B7">
              <w:rPr>
                <w:rFonts w:ascii="Arial" w:hAnsi="Arial" w:cs="Calibri"/>
                <w:sz w:val="16"/>
                <w:szCs w:val="26"/>
                <w:lang w:eastAsia="de-DE"/>
              </w:rPr>
              <w:br/>
              <w:t>Tel: +49 8456 91960-80 –Fax: +49 8456 91960-88</w:t>
            </w:r>
            <w:r w:rsidRPr="000655B7">
              <w:rPr>
                <w:rFonts w:ascii="Arial" w:hAnsi="Arial" w:cs="Calibri"/>
                <w:sz w:val="16"/>
                <w:szCs w:val="26"/>
                <w:lang w:eastAsia="de-DE"/>
              </w:rPr>
              <w:br/>
            </w:r>
            <w:hyperlink r:id="rId8" w:history="1">
              <w:r w:rsidR="00314048" w:rsidRPr="00A62235">
                <w:rPr>
                  <w:rStyle w:val="Link"/>
                  <w:rFonts w:ascii="Arial" w:hAnsi="Arial" w:cs="Calibri"/>
                  <w:sz w:val="16"/>
                  <w:szCs w:val="26"/>
                  <w:lang w:eastAsia="de-DE"/>
                </w:rPr>
                <w:t>d.fieml@vivax-consulting.de</w:t>
              </w:r>
            </w:hyperlink>
            <w:r w:rsidRPr="000655B7">
              <w:rPr>
                <w:rFonts w:ascii="Arial" w:hAnsi="Arial" w:cs="Calibri"/>
                <w:sz w:val="16"/>
                <w:szCs w:val="26"/>
                <w:lang w:eastAsia="de-DE"/>
              </w:rPr>
              <w:br/>
              <w:t>www.vivax-consulting.de</w:t>
            </w:r>
          </w:p>
          <w:p w14:paraId="145B0F0B" w14:textId="77777777" w:rsidR="00CD3EF6" w:rsidRPr="000655B7" w:rsidRDefault="00CD3EF6" w:rsidP="00CD3EF6">
            <w:pPr>
              <w:widowControl w:val="0"/>
              <w:tabs>
                <w:tab w:val="left" w:pos="2977"/>
                <w:tab w:val="left" w:pos="3969"/>
              </w:tabs>
              <w:autoSpaceDE w:val="0"/>
              <w:autoSpaceDN w:val="0"/>
              <w:adjustRightInd w:val="0"/>
              <w:spacing w:line="240" w:lineRule="auto"/>
              <w:ind w:right="176"/>
              <w:rPr>
                <w:rFonts w:ascii="Arial" w:hAnsi="Arial" w:cs="Calibri"/>
                <w:color w:val="0000FF"/>
                <w:sz w:val="16"/>
                <w:szCs w:val="26"/>
                <w:u w:val="single"/>
                <w:lang w:val="en-US" w:eastAsia="de-DE"/>
              </w:rPr>
            </w:pPr>
          </w:p>
        </w:tc>
        <w:tc>
          <w:tcPr>
            <w:tcW w:w="4819" w:type="dxa"/>
            <w:shd w:val="clear" w:color="auto" w:fill="auto"/>
          </w:tcPr>
          <w:p w14:paraId="045CCE93" w14:textId="77777777" w:rsidR="00CD3EF6" w:rsidRPr="000655B7" w:rsidRDefault="00CD3EF6" w:rsidP="00CD3EF6">
            <w:pPr>
              <w:widowControl w:val="0"/>
              <w:autoSpaceDE w:val="0"/>
              <w:autoSpaceDN w:val="0"/>
              <w:adjustRightInd w:val="0"/>
              <w:spacing w:line="240" w:lineRule="auto"/>
              <w:ind w:left="34" w:right="742"/>
              <w:rPr>
                <w:rFonts w:ascii="Arial" w:hAnsi="Arial" w:cs="Calibri"/>
                <w:b/>
                <w:sz w:val="16"/>
                <w:szCs w:val="26"/>
                <w:lang w:eastAsia="de-DE"/>
              </w:rPr>
            </w:pPr>
            <w:r w:rsidRPr="000655B7">
              <w:rPr>
                <w:rFonts w:ascii="Arial" w:hAnsi="Arial" w:cs="Calibri"/>
                <w:b/>
                <w:sz w:val="16"/>
                <w:szCs w:val="26"/>
                <w:lang w:eastAsia="de-DE"/>
              </w:rPr>
              <w:t>Presse- und Öffentlichkeitsarbeit:</w:t>
            </w:r>
            <w:r w:rsidRPr="000655B7">
              <w:rPr>
                <w:rFonts w:ascii="Arial" w:hAnsi="Arial" w:cs="Calibri"/>
                <w:b/>
                <w:sz w:val="16"/>
                <w:szCs w:val="26"/>
                <w:lang w:eastAsia="de-DE"/>
              </w:rPr>
              <w:br/>
            </w:r>
            <w:r w:rsidRPr="000655B7">
              <w:rPr>
                <w:rFonts w:ascii="Arial" w:hAnsi="Arial" w:cs="Calibri"/>
                <w:sz w:val="16"/>
                <w:szCs w:val="26"/>
                <w:lang w:eastAsia="de-DE"/>
              </w:rPr>
              <w:t>Uwe Pagel – Press’n’Relations GmbH</w:t>
            </w:r>
            <w:r w:rsidRPr="000655B7">
              <w:rPr>
                <w:rFonts w:ascii="Arial" w:hAnsi="Arial" w:cs="Calibri"/>
                <w:sz w:val="16"/>
                <w:szCs w:val="26"/>
                <w:lang w:eastAsia="de-DE"/>
              </w:rPr>
              <w:br/>
              <w:t>Magirusstraße 33 – D-89077 Ulm</w:t>
            </w:r>
            <w:r w:rsidRPr="000655B7">
              <w:rPr>
                <w:rFonts w:ascii="Arial" w:hAnsi="Arial" w:cs="Calibri"/>
                <w:sz w:val="16"/>
                <w:szCs w:val="26"/>
                <w:lang w:eastAsia="de-DE"/>
              </w:rPr>
              <w:br/>
              <w:t>Tel.: +49 731 962 87-29 – Fax: +49 731 962 87-97</w:t>
            </w:r>
            <w:r w:rsidRPr="000655B7">
              <w:rPr>
                <w:rFonts w:ascii="Arial" w:hAnsi="Arial" w:cs="Calibri"/>
                <w:sz w:val="16"/>
                <w:szCs w:val="26"/>
                <w:lang w:eastAsia="de-DE"/>
              </w:rPr>
              <w:br/>
            </w:r>
            <w:hyperlink r:id="rId9" w:history="1">
              <w:r w:rsidRPr="000655B7">
                <w:rPr>
                  <w:rStyle w:val="Link"/>
                  <w:rFonts w:ascii="Arial" w:hAnsi="Arial" w:cs="Calibri"/>
                  <w:sz w:val="16"/>
                  <w:szCs w:val="26"/>
                  <w:lang w:eastAsia="de-DE"/>
                </w:rPr>
                <w:t>upa@press-n-relations.de</w:t>
              </w:r>
            </w:hyperlink>
            <w:r w:rsidRPr="000655B7">
              <w:rPr>
                <w:rFonts w:ascii="Arial" w:hAnsi="Arial" w:cs="Calibri"/>
                <w:sz w:val="16"/>
                <w:szCs w:val="26"/>
                <w:lang w:eastAsia="de-DE"/>
              </w:rPr>
              <w:br/>
              <w:t>www.press-n-relations.com</w:t>
            </w:r>
          </w:p>
        </w:tc>
      </w:tr>
    </w:tbl>
    <w:p w14:paraId="40A101D1" w14:textId="1700F6D3" w:rsidR="001D2FB7" w:rsidRPr="000655B7" w:rsidRDefault="002B3E9E" w:rsidP="002B3E9E">
      <w:pPr>
        <w:widowControl w:val="0"/>
        <w:autoSpaceDE w:val="0"/>
        <w:autoSpaceDN w:val="0"/>
        <w:adjustRightInd w:val="0"/>
        <w:spacing w:line="240" w:lineRule="auto"/>
        <w:ind w:left="34" w:right="742"/>
        <w:rPr>
          <w:rFonts w:ascii="Arial" w:hAnsi="Arial" w:cs="Calibri"/>
          <w:sz w:val="16"/>
          <w:szCs w:val="26"/>
          <w:lang w:eastAsia="de-DE"/>
        </w:rPr>
      </w:pPr>
      <w:r w:rsidRPr="000655B7">
        <w:rPr>
          <w:rFonts w:ascii="Arial" w:hAnsi="Arial" w:cs="Calibri"/>
          <w:sz w:val="16"/>
          <w:szCs w:val="26"/>
          <w:lang w:eastAsia="de-DE"/>
        </w:rPr>
        <w:t xml:space="preserve">Die </w:t>
      </w:r>
      <w:proofErr w:type="spellStart"/>
      <w:r w:rsidRPr="000655B7">
        <w:rPr>
          <w:rFonts w:ascii="Arial" w:hAnsi="Arial" w:cs="Calibri"/>
          <w:sz w:val="16"/>
          <w:szCs w:val="26"/>
          <w:lang w:eastAsia="de-DE"/>
        </w:rPr>
        <w:t>Vivax</w:t>
      </w:r>
      <w:proofErr w:type="spellEnd"/>
      <w:r w:rsidRPr="000655B7">
        <w:rPr>
          <w:rFonts w:ascii="Arial" w:hAnsi="Arial" w:cs="Calibri"/>
          <w:sz w:val="16"/>
          <w:szCs w:val="26"/>
          <w:lang w:eastAsia="de-DE"/>
        </w:rPr>
        <w:t xml:space="preserve"> GmbH wurde 2009 mit Sitz in Ingolstadt gegründet und ist auf die Beratung von Unternehmen aus der Versorgungswirtschaft, öffentlichen E</w:t>
      </w:r>
      <w:bookmarkStart w:id="0" w:name="_GoBack"/>
      <w:bookmarkEnd w:id="0"/>
      <w:r w:rsidRPr="000655B7">
        <w:rPr>
          <w:rFonts w:ascii="Arial" w:hAnsi="Arial" w:cs="Calibri"/>
          <w:sz w:val="16"/>
          <w:szCs w:val="26"/>
          <w:lang w:eastAsia="de-DE"/>
        </w:rPr>
        <w:t xml:space="preserve">inrichtungen wie Kliniken sowie Körperschaften des öffentlichen Rechts spezialisiert. Hinter </w:t>
      </w:r>
      <w:proofErr w:type="spellStart"/>
      <w:r w:rsidRPr="000655B7">
        <w:rPr>
          <w:rFonts w:ascii="Arial" w:hAnsi="Arial" w:cs="Calibri"/>
          <w:sz w:val="16"/>
          <w:szCs w:val="26"/>
          <w:lang w:eastAsia="de-DE"/>
        </w:rPr>
        <w:t>Vivax</w:t>
      </w:r>
      <w:proofErr w:type="spellEnd"/>
      <w:r w:rsidRPr="000655B7">
        <w:rPr>
          <w:rFonts w:ascii="Arial" w:hAnsi="Arial" w:cs="Calibri"/>
          <w:sz w:val="16"/>
          <w:szCs w:val="26"/>
          <w:lang w:eastAsia="de-DE"/>
        </w:rPr>
        <w:t xml:space="preserve"> stehen ausg</w:t>
      </w:r>
      <w:r w:rsidRPr="000655B7">
        <w:rPr>
          <w:rFonts w:ascii="Arial" w:hAnsi="Arial" w:cs="Calibri"/>
          <w:sz w:val="16"/>
          <w:szCs w:val="26"/>
          <w:lang w:eastAsia="de-DE"/>
        </w:rPr>
        <w:t>e</w:t>
      </w:r>
      <w:r w:rsidRPr="000655B7">
        <w:rPr>
          <w:rFonts w:ascii="Arial" w:hAnsi="Arial" w:cs="Calibri"/>
          <w:sz w:val="16"/>
          <w:szCs w:val="26"/>
          <w:lang w:eastAsia="de-DE"/>
        </w:rPr>
        <w:t>wiesene Experten, die über jahrelange Erfahrungen sowohl auf Unternehmensseite als auch in der Beratung verfügen. Das Unternehmen hat sich vor allem auf die Beratung in den Feldern „Management“, „Prozesse“ und „Organisation“ spezialisiert.</w:t>
      </w:r>
    </w:p>
    <w:sectPr w:rsidR="001D2FB7" w:rsidRPr="000655B7" w:rsidSect="000655B7">
      <w:headerReference w:type="default" r:id="rId10"/>
      <w:pgSz w:w="12240" w:h="15840"/>
      <w:pgMar w:top="1701" w:right="3735" w:bottom="1134"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E0B8C" w14:textId="77777777" w:rsidR="002A7E29" w:rsidRDefault="002A7E29" w:rsidP="00BF70FE">
      <w:pPr>
        <w:spacing w:after="0" w:line="240" w:lineRule="auto"/>
      </w:pPr>
      <w:r>
        <w:separator/>
      </w:r>
    </w:p>
  </w:endnote>
  <w:endnote w:type="continuationSeparator" w:id="0">
    <w:p w14:paraId="64E82139" w14:textId="77777777" w:rsidR="002A7E29" w:rsidRDefault="002A7E29" w:rsidP="00BF7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altName w:val="Arial"/>
    <w:charset w:val="00"/>
    <w:family w:val="swiss"/>
    <w:pitch w:val="variable"/>
    <w:sig w:usb0="E4002EFF" w:usb1="C000E47F"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F87B6" w14:textId="77777777" w:rsidR="002A7E29" w:rsidRDefault="002A7E29" w:rsidP="00BF70FE">
      <w:pPr>
        <w:spacing w:after="0" w:line="240" w:lineRule="auto"/>
      </w:pPr>
      <w:r>
        <w:separator/>
      </w:r>
    </w:p>
  </w:footnote>
  <w:footnote w:type="continuationSeparator" w:id="0">
    <w:p w14:paraId="1A21D84C" w14:textId="77777777" w:rsidR="002A7E29" w:rsidRDefault="002A7E29" w:rsidP="00BF70F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49685" w14:textId="77777777" w:rsidR="002A7E29" w:rsidRDefault="002A7E29" w:rsidP="002757A3">
    <w:pPr>
      <w:pStyle w:val="Kopfzeile"/>
      <w:ind w:right="-2268"/>
      <w:jc w:val="right"/>
    </w:pPr>
    <w:r>
      <w:rPr>
        <w:noProof/>
        <w:lang w:eastAsia="de-DE"/>
      </w:rPr>
      <w:drawing>
        <wp:inline distT="0" distB="0" distL="0" distR="0" wp14:anchorId="6F3DF14F" wp14:editId="365F5EBB">
          <wp:extent cx="1091184" cy="292608"/>
          <wp:effectExtent l="0" t="0" r="1270" b="1270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1091184" cy="292608"/>
                  </a:xfrm>
                  <a:prstGeom prst="rect">
                    <a:avLst/>
                  </a:prstGeom>
                </pic:spPr>
              </pic:pic>
            </a:graphicData>
          </a:graphic>
        </wp:inline>
      </w:drawing>
    </w:r>
    <w:r>
      <w:rPr>
        <w:noProof/>
        <w:lang w:eastAsia="de-DE"/>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443E9"/>
    <w:multiLevelType w:val="hybridMultilevel"/>
    <w:tmpl w:val="DE948948"/>
    <w:lvl w:ilvl="0" w:tplc="552AB81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C771EB9D-59BD-4437-BD18-A675BACDF941}"/>
    <w:docVar w:name="dgnword-eventsink" w:val="316488199920"/>
  </w:docVars>
  <w:rsids>
    <w:rsidRoot w:val="00E37F9E"/>
    <w:rsid w:val="000655B7"/>
    <w:rsid w:val="000C4746"/>
    <w:rsid w:val="00104674"/>
    <w:rsid w:val="001D2FB7"/>
    <w:rsid w:val="002757A3"/>
    <w:rsid w:val="002A7E29"/>
    <w:rsid w:val="002B3E9E"/>
    <w:rsid w:val="00314048"/>
    <w:rsid w:val="003274D8"/>
    <w:rsid w:val="00362AE7"/>
    <w:rsid w:val="003953CA"/>
    <w:rsid w:val="003C0B6F"/>
    <w:rsid w:val="00463FE6"/>
    <w:rsid w:val="00497AEF"/>
    <w:rsid w:val="00557F58"/>
    <w:rsid w:val="00576E59"/>
    <w:rsid w:val="00732F57"/>
    <w:rsid w:val="00785BC8"/>
    <w:rsid w:val="00822F51"/>
    <w:rsid w:val="0094694E"/>
    <w:rsid w:val="00A257D2"/>
    <w:rsid w:val="00A32BA5"/>
    <w:rsid w:val="00A56E5A"/>
    <w:rsid w:val="00B11CFE"/>
    <w:rsid w:val="00BF70FE"/>
    <w:rsid w:val="00C91823"/>
    <w:rsid w:val="00CB2102"/>
    <w:rsid w:val="00CC44E9"/>
    <w:rsid w:val="00CD3EF6"/>
    <w:rsid w:val="00E14982"/>
    <w:rsid w:val="00E37F9E"/>
    <w:rsid w:val="00E6120F"/>
    <w:rsid w:val="00E704E3"/>
    <w:rsid w:val="00E92706"/>
    <w:rsid w:val="00ED48B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6DF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tont">
    <w:name w:val="Strong"/>
    <w:basedOn w:val="Absatzstandardschriftart"/>
    <w:uiPriority w:val="22"/>
    <w:qFormat/>
    <w:rsid w:val="00557F58"/>
    <w:rPr>
      <w:b/>
      <w:bCs/>
    </w:rPr>
  </w:style>
  <w:style w:type="paragraph" w:styleId="Listenabsatz">
    <w:name w:val="List Paragraph"/>
    <w:basedOn w:val="Standard"/>
    <w:uiPriority w:val="34"/>
    <w:qFormat/>
    <w:rsid w:val="00104674"/>
    <w:pPr>
      <w:ind w:left="720"/>
      <w:contextualSpacing/>
    </w:pPr>
  </w:style>
  <w:style w:type="character" w:styleId="Link">
    <w:name w:val="Hyperlink"/>
    <w:basedOn w:val="Absatzstandardschriftart"/>
    <w:uiPriority w:val="99"/>
    <w:unhideWhenUsed/>
    <w:rsid w:val="00463FE6"/>
    <w:rPr>
      <w:color w:val="0563C1" w:themeColor="hyperlink"/>
      <w:u w:val="single"/>
    </w:rPr>
  </w:style>
  <w:style w:type="paragraph" w:styleId="Kopfzeile">
    <w:name w:val="header"/>
    <w:basedOn w:val="Standard"/>
    <w:link w:val="KopfzeileZeichen"/>
    <w:uiPriority w:val="99"/>
    <w:unhideWhenUsed/>
    <w:rsid w:val="00BF70FE"/>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BF70FE"/>
  </w:style>
  <w:style w:type="paragraph" w:styleId="Fuzeile">
    <w:name w:val="footer"/>
    <w:basedOn w:val="Standard"/>
    <w:link w:val="FuzeileZeichen"/>
    <w:uiPriority w:val="99"/>
    <w:unhideWhenUsed/>
    <w:rsid w:val="00BF70FE"/>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BF70FE"/>
  </w:style>
  <w:style w:type="paragraph" w:styleId="Sprechblasentext">
    <w:name w:val="Balloon Text"/>
    <w:basedOn w:val="Standard"/>
    <w:link w:val="SprechblasentextZeichen"/>
    <w:uiPriority w:val="99"/>
    <w:semiHidden/>
    <w:unhideWhenUsed/>
    <w:rsid w:val="00BF70FE"/>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BF70FE"/>
    <w:rPr>
      <w:rFonts w:ascii="Segoe UI" w:hAnsi="Segoe UI" w:cs="Segoe UI"/>
      <w:sz w:val="18"/>
      <w:szCs w:val="18"/>
    </w:rPr>
  </w:style>
  <w:style w:type="character" w:styleId="GesichteterLink">
    <w:name w:val="FollowedHyperlink"/>
    <w:basedOn w:val="Absatzstandardschriftart"/>
    <w:uiPriority w:val="99"/>
    <w:semiHidden/>
    <w:unhideWhenUsed/>
    <w:rsid w:val="00CD3EF6"/>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tont">
    <w:name w:val="Strong"/>
    <w:basedOn w:val="Absatzstandardschriftart"/>
    <w:uiPriority w:val="22"/>
    <w:qFormat/>
    <w:rsid w:val="00557F58"/>
    <w:rPr>
      <w:b/>
      <w:bCs/>
    </w:rPr>
  </w:style>
  <w:style w:type="paragraph" w:styleId="Listenabsatz">
    <w:name w:val="List Paragraph"/>
    <w:basedOn w:val="Standard"/>
    <w:uiPriority w:val="34"/>
    <w:qFormat/>
    <w:rsid w:val="00104674"/>
    <w:pPr>
      <w:ind w:left="720"/>
      <w:contextualSpacing/>
    </w:pPr>
  </w:style>
  <w:style w:type="character" w:styleId="Link">
    <w:name w:val="Hyperlink"/>
    <w:basedOn w:val="Absatzstandardschriftart"/>
    <w:uiPriority w:val="99"/>
    <w:unhideWhenUsed/>
    <w:rsid w:val="00463FE6"/>
    <w:rPr>
      <w:color w:val="0563C1" w:themeColor="hyperlink"/>
      <w:u w:val="single"/>
    </w:rPr>
  </w:style>
  <w:style w:type="paragraph" w:styleId="Kopfzeile">
    <w:name w:val="header"/>
    <w:basedOn w:val="Standard"/>
    <w:link w:val="KopfzeileZeichen"/>
    <w:uiPriority w:val="99"/>
    <w:unhideWhenUsed/>
    <w:rsid w:val="00BF70FE"/>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BF70FE"/>
  </w:style>
  <w:style w:type="paragraph" w:styleId="Fuzeile">
    <w:name w:val="footer"/>
    <w:basedOn w:val="Standard"/>
    <w:link w:val="FuzeileZeichen"/>
    <w:uiPriority w:val="99"/>
    <w:unhideWhenUsed/>
    <w:rsid w:val="00BF70FE"/>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BF70FE"/>
  </w:style>
  <w:style w:type="paragraph" w:styleId="Sprechblasentext">
    <w:name w:val="Balloon Text"/>
    <w:basedOn w:val="Standard"/>
    <w:link w:val="SprechblasentextZeichen"/>
    <w:uiPriority w:val="99"/>
    <w:semiHidden/>
    <w:unhideWhenUsed/>
    <w:rsid w:val="00BF70FE"/>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BF70FE"/>
    <w:rPr>
      <w:rFonts w:ascii="Segoe UI" w:hAnsi="Segoe UI" w:cs="Segoe UI"/>
      <w:sz w:val="18"/>
      <w:szCs w:val="18"/>
    </w:rPr>
  </w:style>
  <w:style w:type="character" w:styleId="GesichteterLink">
    <w:name w:val="FollowedHyperlink"/>
    <w:basedOn w:val="Absatzstandardschriftart"/>
    <w:uiPriority w:val="99"/>
    <w:semiHidden/>
    <w:unhideWhenUsed/>
    <w:rsid w:val="00CD3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12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RelyOnCS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fieml@vivax-consulting.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3842</Characters>
  <Application>Microsoft Macintosh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Dipl.- Ing. (FH) Dirk Fieml</dc:creator>
  <cp:keywords/>
  <dc:description/>
  <cp:lastModifiedBy>Uwe Pagel</cp:lastModifiedBy>
  <cp:revision>3</cp:revision>
  <cp:lastPrinted>2014-05-22T09:32:00Z</cp:lastPrinted>
  <dcterms:created xsi:type="dcterms:W3CDTF">2014-05-26T13:01:00Z</dcterms:created>
  <dcterms:modified xsi:type="dcterms:W3CDTF">2014-05-27T06:20:00Z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306931540</vt:i4>
  </property>
  <property fmtid="{D5CDD505-2E9C-101B-9397-08002B2CF9AE}" pid="3" name="_NewReviewCycle">
    <vt:lpwstr/>
  </property>
  <property fmtid="{D5CDD505-2E9C-101B-9397-08002B2CF9AE}" pid="4" name="_EmailSubject">
    <vt:lpwstr>Presseinfo STI Energiewirtschaft</vt:lpwstr>
  </property>
  <property fmtid="{D5CDD505-2E9C-101B-9397-08002B2CF9AE}" pid="5" name="_AuthorEmail">
    <vt:lpwstr>d.fieml@vivax-gmbh.net</vt:lpwstr>
  </property>
  <property fmtid="{D5CDD505-2E9C-101B-9397-08002B2CF9AE}" pid="6" name="_AuthorEmailDisplayName">
    <vt:lpwstr>Dirk Fieml</vt:lpwstr>
  </property>
</Properties>
</file>