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6F352" w14:textId="77777777" w:rsidR="002757A3" w:rsidRPr="000655B7" w:rsidRDefault="002757A3" w:rsidP="00E37F9E">
      <w:pPr>
        <w:autoSpaceDE w:val="0"/>
        <w:autoSpaceDN w:val="0"/>
        <w:adjustRightInd w:val="0"/>
        <w:spacing w:after="0" w:line="240" w:lineRule="auto"/>
        <w:rPr>
          <w:rFonts w:ascii="Arial" w:hAnsi="Arial" w:cs="Arial"/>
          <w:b/>
          <w:color w:val="000000"/>
          <w:sz w:val="24"/>
          <w:szCs w:val="24"/>
        </w:rPr>
      </w:pPr>
    </w:p>
    <w:p w14:paraId="0B2168AF" w14:textId="77777777" w:rsidR="00E37F9E" w:rsidRPr="000655B7" w:rsidRDefault="002757A3" w:rsidP="00E37F9E">
      <w:pPr>
        <w:autoSpaceDE w:val="0"/>
        <w:autoSpaceDN w:val="0"/>
        <w:adjustRightInd w:val="0"/>
        <w:spacing w:after="0" w:line="240" w:lineRule="auto"/>
        <w:rPr>
          <w:rFonts w:ascii="Arial" w:hAnsi="Arial" w:cs="Arial"/>
          <w:b/>
          <w:color w:val="000000"/>
          <w:sz w:val="28"/>
          <w:szCs w:val="28"/>
        </w:rPr>
      </w:pPr>
      <w:r w:rsidRPr="000655B7">
        <w:rPr>
          <w:rFonts w:ascii="Arial" w:hAnsi="Arial" w:cs="Arial"/>
          <w:b/>
          <w:color w:val="000000"/>
          <w:sz w:val="28"/>
          <w:szCs w:val="28"/>
        </w:rPr>
        <w:t>PRESSEINFORMATION</w:t>
      </w:r>
      <w:bookmarkStart w:id="0" w:name="_GoBack"/>
      <w:bookmarkEnd w:id="0"/>
    </w:p>
    <w:p w14:paraId="4C8BBA5C" w14:textId="77777777" w:rsidR="00EB6A45" w:rsidRDefault="00EB6A45" w:rsidP="00E37F9E">
      <w:pPr>
        <w:autoSpaceDE w:val="0"/>
        <w:autoSpaceDN w:val="0"/>
        <w:adjustRightInd w:val="0"/>
        <w:spacing w:after="0" w:line="240" w:lineRule="auto"/>
        <w:rPr>
          <w:rFonts w:ascii="Arial" w:hAnsi="Arial" w:cs="Arial"/>
          <w:color w:val="000000"/>
        </w:rPr>
      </w:pPr>
    </w:p>
    <w:p w14:paraId="1BB9B786" w14:textId="317E0DBF" w:rsidR="002757A3" w:rsidRPr="000655B7" w:rsidRDefault="004137FD" w:rsidP="00E37F9E">
      <w:pPr>
        <w:autoSpaceDE w:val="0"/>
        <w:autoSpaceDN w:val="0"/>
        <w:adjustRightInd w:val="0"/>
        <w:spacing w:after="0" w:line="240" w:lineRule="auto"/>
        <w:rPr>
          <w:rFonts w:ascii="Arial" w:hAnsi="Arial" w:cs="Arial"/>
          <w:color w:val="000000"/>
        </w:rPr>
      </w:pPr>
      <w:r>
        <w:rPr>
          <w:rFonts w:ascii="Arial" w:hAnsi="Arial" w:cs="Arial"/>
          <w:color w:val="000000"/>
        </w:rPr>
        <w:t>Ingolstadt</w:t>
      </w:r>
      <w:r w:rsidR="002757A3" w:rsidRPr="000655B7">
        <w:rPr>
          <w:rFonts w:ascii="Arial" w:hAnsi="Arial" w:cs="Arial"/>
          <w:color w:val="000000"/>
        </w:rPr>
        <w:t xml:space="preserve">, </w:t>
      </w:r>
      <w:r w:rsidR="00B71C92">
        <w:rPr>
          <w:rFonts w:ascii="Arial" w:hAnsi="Arial" w:cs="Arial"/>
          <w:color w:val="000000"/>
        </w:rPr>
        <w:t>4</w:t>
      </w:r>
      <w:r w:rsidR="002757A3" w:rsidRPr="000655B7">
        <w:rPr>
          <w:rFonts w:ascii="Arial" w:hAnsi="Arial" w:cs="Arial"/>
          <w:color w:val="000000"/>
        </w:rPr>
        <w:t xml:space="preserve">. </w:t>
      </w:r>
      <w:r w:rsidR="00D02991">
        <w:rPr>
          <w:rFonts w:ascii="Arial" w:hAnsi="Arial" w:cs="Arial"/>
          <w:color w:val="000000"/>
        </w:rPr>
        <w:t>Dezember</w:t>
      </w:r>
      <w:r w:rsidR="002757A3" w:rsidRPr="000655B7">
        <w:rPr>
          <w:rFonts w:ascii="Arial" w:hAnsi="Arial" w:cs="Arial"/>
          <w:color w:val="000000"/>
        </w:rPr>
        <w:t xml:space="preserve"> 2014</w:t>
      </w:r>
    </w:p>
    <w:p w14:paraId="1A81E8DA" w14:textId="77777777" w:rsidR="000655B7" w:rsidRPr="000655B7" w:rsidRDefault="000655B7" w:rsidP="00E37F9E">
      <w:pPr>
        <w:autoSpaceDE w:val="0"/>
        <w:autoSpaceDN w:val="0"/>
        <w:adjustRightInd w:val="0"/>
        <w:spacing w:after="0" w:line="240" w:lineRule="auto"/>
        <w:rPr>
          <w:rFonts w:ascii="Arial" w:hAnsi="Arial" w:cs="Arial"/>
          <w:color w:val="000000"/>
          <w:sz w:val="24"/>
          <w:szCs w:val="24"/>
        </w:rPr>
      </w:pPr>
    </w:p>
    <w:p w14:paraId="3EC26121" w14:textId="77777777" w:rsidR="00E37F9E" w:rsidRDefault="00E37F9E" w:rsidP="00E37F9E">
      <w:pPr>
        <w:autoSpaceDE w:val="0"/>
        <w:autoSpaceDN w:val="0"/>
        <w:adjustRightInd w:val="0"/>
        <w:spacing w:after="0" w:line="240" w:lineRule="auto"/>
        <w:rPr>
          <w:rFonts w:ascii="Arial" w:hAnsi="Arial" w:cs="Arial"/>
          <w:color w:val="000000"/>
          <w:sz w:val="20"/>
          <w:szCs w:val="20"/>
        </w:rPr>
      </w:pPr>
    </w:p>
    <w:p w14:paraId="689465E2" w14:textId="77777777" w:rsidR="00D02991" w:rsidRDefault="00D02991" w:rsidP="00D02991">
      <w:pPr>
        <w:spacing w:line="360" w:lineRule="auto"/>
        <w:ind w:right="-993"/>
        <w:rPr>
          <w:rFonts w:ascii="Helvetica" w:hAnsi="Helvetica" w:cs="Arial"/>
          <w:b/>
        </w:rPr>
      </w:pPr>
      <w:r w:rsidRPr="002E4FB3">
        <w:rPr>
          <w:rFonts w:ascii="Helvetica" w:hAnsi="Helvetica" w:cs="Arial"/>
          <w:b/>
        </w:rPr>
        <w:t>E-world 201</w:t>
      </w:r>
      <w:r>
        <w:rPr>
          <w:rFonts w:ascii="Helvetica" w:hAnsi="Helvetica" w:cs="Arial"/>
          <w:b/>
        </w:rPr>
        <w:t>5 – 10</w:t>
      </w:r>
      <w:r w:rsidRPr="002E4FB3">
        <w:rPr>
          <w:rFonts w:ascii="Helvetica" w:hAnsi="Helvetica" w:cs="Arial"/>
          <w:b/>
        </w:rPr>
        <w:t xml:space="preserve">. </w:t>
      </w:r>
      <w:r>
        <w:rPr>
          <w:rFonts w:ascii="Helvetica" w:hAnsi="Helvetica" w:cs="Arial"/>
          <w:b/>
        </w:rPr>
        <w:t>bis</w:t>
      </w:r>
      <w:r w:rsidRPr="002E4FB3">
        <w:rPr>
          <w:rFonts w:ascii="Helvetica" w:hAnsi="Helvetica" w:cs="Arial"/>
          <w:b/>
        </w:rPr>
        <w:t xml:space="preserve"> </w:t>
      </w:r>
      <w:r>
        <w:rPr>
          <w:rFonts w:ascii="Helvetica" w:hAnsi="Helvetica" w:cs="Arial"/>
          <w:b/>
        </w:rPr>
        <w:t>12. Februar 2015</w:t>
      </w:r>
      <w:r w:rsidRPr="002E4FB3">
        <w:rPr>
          <w:rFonts w:ascii="Helvetica" w:hAnsi="Helvetica" w:cs="Arial"/>
          <w:b/>
        </w:rPr>
        <w:t xml:space="preserve"> in Essen </w:t>
      </w:r>
      <w:r>
        <w:rPr>
          <w:rFonts w:ascii="Helvetica" w:hAnsi="Helvetica" w:cs="Arial"/>
          <w:b/>
        </w:rPr>
        <w:t>–</w:t>
      </w:r>
      <w:r w:rsidRPr="002E4FB3">
        <w:rPr>
          <w:rFonts w:ascii="Helvetica" w:hAnsi="Helvetica" w:cs="Arial"/>
          <w:b/>
        </w:rPr>
        <w:t xml:space="preserve"> Halle 3, Stand </w:t>
      </w:r>
      <w:r>
        <w:rPr>
          <w:rFonts w:ascii="Helvetica" w:hAnsi="Helvetica" w:cs="Arial"/>
          <w:b/>
        </w:rPr>
        <w:t>131</w:t>
      </w:r>
    </w:p>
    <w:p w14:paraId="370C292D" w14:textId="77777777" w:rsidR="00D02991" w:rsidRPr="000655B7" w:rsidRDefault="00D02991" w:rsidP="00E37F9E">
      <w:pPr>
        <w:autoSpaceDE w:val="0"/>
        <w:autoSpaceDN w:val="0"/>
        <w:adjustRightInd w:val="0"/>
        <w:spacing w:after="0" w:line="240" w:lineRule="auto"/>
        <w:rPr>
          <w:rFonts w:ascii="Arial" w:hAnsi="Arial" w:cs="Arial"/>
          <w:color w:val="000000"/>
          <w:sz w:val="20"/>
          <w:szCs w:val="20"/>
        </w:rPr>
      </w:pPr>
    </w:p>
    <w:p w14:paraId="4214F379" w14:textId="4083ABDB" w:rsidR="00E37F9E" w:rsidRPr="000655B7" w:rsidRDefault="00D02991" w:rsidP="002757A3">
      <w:pPr>
        <w:autoSpaceDE w:val="0"/>
        <w:autoSpaceDN w:val="0"/>
        <w:adjustRightInd w:val="0"/>
        <w:spacing w:after="0" w:line="240" w:lineRule="auto"/>
        <w:ind w:right="-1984"/>
        <w:rPr>
          <w:rFonts w:ascii="Arial" w:hAnsi="Arial" w:cs="Arial"/>
          <w:b/>
          <w:color w:val="000000"/>
          <w:sz w:val="28"/>
          <w:szCs w:val="28"/>
        </w:rPr>
      </w:pPr>
      <w:r>
        <w:rPr>
          <w:rFonts w:ascii="Arial" w:hAnsi="Arial" w:cs="Arial"/>
          <w:b/>
          <w:color w:val="000000"/>
          <w:sz w:val="28"/>
          <w:szCs w:val="28"/>
        </w:rPr>
        <w:t>3-D-Sicht auf Prozesse und Kosten</w:t>
      </w:r>
    </w:p>
    <w:p w14:paraId="35A51C7D" w14:textId="6C65D401" w:rsidR="00E37F9E" w:rsidRPr="000655B7" w:rsidRDefault="002D5B66" w:rsidP="000655B7">
      <w:pPr>
        <w:spacing w:line="360" w:lineRule="auto"/>
        <w:rPr>
          <w:rFonts w:ascii="Arial" w:hAnsi="Arial" w:cs="Tahoma"/>
          <w:sz w:val="20"/>
          <w:szCs w:val="20"/>
        </w:rPr>
      </w:pPr>
      <w:proofErr w:type="spellStart"/>
      <w:r>
        <w:rPr>
          <w:rFonts w:ascii="Arial" w:hAnsi="Arial" w:cs="Tahoma"/>
          <w:sz w:val="20"/>
          <w:szCs w:val="20"/>
        </w:rPr>
        <w:t>V</w:t>
      </w:r>
      <w:r w:rsidR="00D02991">
        <w:rPr>
          <w:rFonts w:ascii="Arial" w:hAnsi="Arial" w:cs="Tahoma"/>
          <w:sz w:val="20"/>
          <w:szCs w:val="20"/>
        </w:rPr>
        <w:t>ivax</w:t>
      </w:r>
      <w:proofErr w:type="spellEnd"/>
      <w:r w:rsidR="00D02991">
        <w:rPr>
          <w:rFonts w:ascii="Arial" w:hAnsi="Arial" w:cs="Tahoma"/>
          <w:sz w:val="20"/>
          <w:szCs w:val="20"/>
        </w:rPr>
        <w:t xml:space="preserve"> zeigt verfeinertes Modell für die Prozesskostenanalyse</w:t>
      </w:r>
    </w:p>
    <w:p w14:paraId="1A42BDF4" w14:textId="77777777" w:rsidR="00E37F9E" w:rsidRPr="000655B7" w:rsidRDefault="00E37F9E" w:rsidP="00E37F9E">
      <w:pPr>
        <w:autoSpaceDE w:val="0"/>
        <w:autoSpaceDN w:val="0"/>
        <w:adjustRightInd w:val="0"/>
        <w:spacing w:after="0" w:line="240" w:lineRule="auto"/>
        <w:rPr>
          <w:rFonts w:ascii="Arial" w:hAnsi="Arial" w:cs="Arial"/>
          <w:color w:val="000000"/>
          <w:sz w:val="20"/>
          <w:szCs w:val="20"/>
        </w:rPr>
      </w:pPr>
    </w:p>
    <w:p w14:paraId="1A77AE2A" w14:textId="783798FC" w:rsidR="004137FD" w:rsidRPr="004137FD" w:rsidRDefault="004137FD" w:rsidP="004137FD">
      <w:pPr>
        <w:spacing w:line="360" w:lineRule="auto"/>
        <w:rPr>
          <w:rFonts w:ascii="Arial" w:hAnsi="Arial" w:cs="Tahoma"/>
          <w:b/>
          <w:bCs/>
          <w:sz w:val="20"/>
          <w:szCs w:val="20"/>
          <w:lang w:val="de-AT"/>
        </w:rPr>
      </w:pPr>
      <w:r w:rsidRPr="004137FD">
        <w:rPr>
          <w:rFonts w:ascii="Arial" w:hAnsi="Arial" w:cs="Tahoma"/>
          <w:b/>
          <w:bCs/>
          <w:sz w:val="20"/>
          <w:szCs w:val="20"/>
          <w:lang w:val="de-AT"/>
        </w:rPr>
        <w:t>Mit mehr als 15.000 Einzelaufgaben, verteilt auf rund 700 Prozesse, pr</w:t>
      </w:r>
      <w:r w:rsidRPr="004137FD">
        <w:rPr>
          <w:rFonts w:ascii="Arial" w:hAnsi="Arial" w:cs="Tahoma"/>
          <w:b/>
          <w:bCs/>
          <w:sz w:val="20"/>
          <w:szCs w:val="20"/>
          <w:lang w:val="de-AT"/>
        </w:rPr>
        <w:t>ä</w:t>
      </w:r>
      <w:r w:rsidRPr="004137FD">
        <w:rPr>
          <w:rFonts w:ascii="Arial" w:hAnsi="Arial" w:cs="Tahoma"/>
          <w:b/>
          <w:bCs/>
          <w:sz w:val="20"/>
          <w:szCs w:val="20"/>
          <w:lang w:val="de-AT"/>
        </w:rPr>
        <w:t xml:space="preserve">sentiert das Beratungsunternehmen </w:t>
      </w:r>
      <w:proofErr w:type="spellStart"/>
      <w:r w:rsidRPr="004137FD">
        <w:rPr>
          <w:rFonts w:ascii="Arial" w:hAnsi="Arial" w:cs="Tahoma"/>
          <w:b/>
          <w:bCs/>
          <w:sz w:val="20"/>
          <w:szCs w:val="20"/>
          <w:lang w:val="de-AT"/>
        </w:rPr>
        <w:t>Vivax</w:t>
      </w:r>
      <w:proofErr w:type="spellEnd"/>
      <w:r w:rsidRPr="004137FD">
        <w:rPr>
          <w:rFonts w:ascii="Arial" w:hAnsi="Arial" w:cs="Tahoma"/>
          <w:b/>
          <w:bCs/>
          <w:sz w:val="20"/>
          <w:szCs w:val="20"/>
          <w:lang w:val="de-AT"/>
        </w:rPr>
        <w:t xml:space="preserve"> mit der Software PS-</w:t>
      </w:r>
      <w:proofErr w:type="spellStart"/>
      <w:r w:rsidRPr="004137FD">
        <w:rPr>
          <w:rFonts w:ascii="Arial" w:hAnsi="Arial" w:cs="Tahoma"/>
          <w:b/>
          <w:bCs/>
          <w:sz w:val="20"/>
          <w:szCs w:val="20"/>
          <w:lang w:val="de-AT"/>
        </w:rPr>
        <w:t>Energy</w:t>
      </w:r>
      <w:proofErr w:type="spellEnd"/>
      <w:r w:rsidRPr="004137FD">
        <w:rPr>
          <w:rFonts w:ascii="Arial" w:hAnsi="Arial" w:cs="Tahoma"/>
          <w:b/>
          <w:bCs/>
          <w:sz w:val="20"/>
          <w:szCs w:val="20"/>
          <w:lang w:val="de-AT"/>
        </w:rPr>
        <w:t xml:space="preserve"> auf der E-</w:t>
      </w:r>
      <w:proofErr w:type="spellStart"/>
      <w:r w:rsidRPr="004137FD">
        <w:rPr>
          <w:rFonts w:ascii="Arial" w:hAnsi="Arial" w:cs="Tahoma"/>
          <w:b/>
          <w:bCs/>
          <w:sz w:val="20"/>
          <w:szCs w:val="20"/>
          <w:lang w:val="de-AT"/>
        </w:rPr>
        <w:t>world</w:t>
      </w:r>
      <w:proofErr w:type="spellEnd"/>
      <w:r w:rsidRPr="004137FD">
        <w:rPr>
          <w:rFonts w:ascii="Arial" w:hAnsi="Arial" w:cs="Tahoma"/>
          <w:b/>
          <w:bCs/>
          <w:sz w:val="20"/>
          <w:szCs w:val="20"/>
          <w:lang w:val="de-AT"/>
        </w:rPr>
        <w:t xml:space="preserve"> 2015 ein deutlich erweitertes Prozessmodell für Unternehmen der Versorgungswirtschaft</w:t>
      </w:r>
      <w:r>
        <w:rPr>
          <w:rFonts w:ascii="Arial" w:hAnsi="Arial" w:cs="Tahoma"/>
          <w:b/>
          <w:bCs/>
          <w:sz w:val="20"/>
          <w:szCs w:val="20"/>
          <w:lang w:val="de-AT"/>
        </w:rPr>
        <w:t xml:space="preserve"> – und dies </w:t>
      </w:r>
      <w:r w:rsidRPr="004137FD">
        <w:rPr>
          <w:rFonts w:ascii="Arial" w:hAnsi="Arial" w:cs="Tahoma"/>
          <w:b/>
          <w:bCs/>
          <w:sz w:val="20"/>
          <w:szCs w:val="20"/>
          <w:lang w:val="de-AT"/>
        </w:rPr>
        <w:t xml:space="preserve">für alle Sparten wie Strom, Gas, Wasser, Wärme, Verkehr </w:t>
      </w:r>
      <w:r>
        <w:rPr>
          <w:rFonts w:ascii="Arial" w:hAnsi="Arial" w:cs="Tahoma"/>
          <w:b/>
          <w:bCs/>
          <w:sz w:val="20"/>
          <w:szCs w:val="20"/>
          <w:lang w:val="de-AT"/>
        </w:rPr>
        <w:t>oder</w:t>
      </w:r>
      <w:r w:rsidRPr="004137FD">
        <w:rPr>
          <w:rFonts w:ascii="Arial" w:hAnsi="Arial" w:cs="Tahoma"/>
          <w:b/>
          <w:bCs/>
          <w:sz w:val="20"/>
          <w:szCs w:val="20"/>
          <w:lang w:val="de-AT"/>
        </w:rPr>
        <w:t xml:space="preserve"> Freizeitanlagen. Zusätzlich wurden die An</w:t>
      </w:r>
      <w:r w:rsidRPr="004137FD">
        <w:rPr>
          <w:rFonts w:ascii="Arial" w:hAnsi="Arial" w:cs="Tahoma"/>
          <w:b/>
          <w:bCs/>
          <w:sz w:val="20"/>
          <w:szCs w:val="20"/>
          <w:lang w:val="de-AT"/>
        </w:rPr>
        <w:t>a</w:t>
      </w:r>
      <w:r w:rsidRPr="004137FD">
        <w:rPr>
          <w:rFonts w:ascii="Arial" w:hAnsi="Arial" w:cs="Tahoma"/>
          <w:b/>
          <w:bCs/>
          <w:sz w:val="20"/>
          <w:szCs w:val="20"/>
          <w:lang w:val="de-AT"/>
        </w:rPr>
        <w:t xml:space="preserve">lysemöglichkeiten </w:t>
      </w:r>
      <w:r w:rsidR="00953399">
        <w:rPr>
          <w:rFonts w:ascii="Arial" w:hAnsi="Arial" w:cs="Tahoma"/>
          <w:b/>
          <w:bCs/>
          <w:sz w:val="20"/>
          <w:szCs w:val="20"/>
          <w:lang w:val="de-AT"/>
        </w:rPr>
        <w:t xml:space="preserve">der </w:t>
      </w:r>
      <w:r>
        <w:rPr>
          <w:rFonts w:ascii="Arial" w:hAnsi="Arial" w:cs="Tahoma"/>
          <w:b/>
          <w:bCs/>
          <w:sz w:val="20"/>
          <w:szCs w:val="20"/>
          <w:lang w:val="de-AT"/>
        </w:rPr>
        <w:t xml:space="preserve">Lösung </w:t>
      </w:r>
      <w:r w:rsidRPr="004137FD">
        <w:rPr>
          <w:rFonts w:ascii="Arial" w:hAnsi="Arial" w:cs="Tahoma"/>
          <w:b/>
          <w:bCs/>
          <w:sz w:val="20"/>
          <w:szCs w:val="20"/>
          <w:lang w:val="de-AT"/>
        </w:rPr>
        <w:t>ausgebaut, die der Branchensoftwarea</w:t>
      </w:r>
      <w:r w:rsidRPr="004137FD">
        <w:rPr>
          <w:rFonts w:ascii="Arial" w:hAnsi="Arial" w:cs="Tahoma"/>
          <w:b/>
          <w:bCs/>
          <w:sz w:val="20"/>
          <w:szCs w:val="20"/>
          <w:lang w:val="de-AT"/>
        </w:rPr>
        <w:t>n</w:t>
      </w:r>
      <w:r w:rsidRPr="004137FD">
        <w:rPr>
          <w:rFonts w:ascii="Arial" w:hAnsi="Arial" w:cs="Tahoma"/>
          <w:b/>
          <w:bCs/>
          <w:sz w:val="20"/>
          <w:szCs w:val="20"/>
          <w:lang w:val="de-AT"/>
        </w:rPr>
        <w:t xml:space="preserve">bieter Wilken mit Unterstützung von </w:t>
      </w:r>
      <w:proofErr w:type="spellStart"/>
      <w:r w:rsidRPr="004137FD">
        <w:rPr>
          <w:rFonts w:ascii="Arial" w:hAnsi="Arial" w:cs="Tahoma"/>
          <w:b/>
          <w:bCs/>
          <w:sz w:val="20"/>
          <w:szCs w:val="20"/>
          <w:lang w:val="de-AT"/>
        </w:rPr>
        <w:t>Vivax</w:t>
      </w:r>
      <w:proofErr w:type="spellEnd"/>
      <w:r w:rsidRPr="004137FD">
        <w:rPr>
          <w:rFonts w:ascii="Arial" w:hAnsi="Arial" w:cs="Tahoma"/>
          <w:b/>
          <w:bCs/>
          <w:sz w:val="20"/>
          <w:szCs w:val="20"/>
          <w:lang w:val="de-AT"/>
        </w:rPr>
        <w:t xml:space="preserve"> entwickelt hat. Damit lassen sich die Prozess</w:t>
      </w:r>
      <w:r w:rsidR="00953399">
        <w:rPr>
          <w:rFonts w:ascii="Arial" w:hAnsi="Arial" w:cs="Tahoma"/>
          <w:b/>
          <w:bCs/>
          <w:sz w:val="20"/>
          <w:szCs w:val="20"/>
          <w:lang w:val="de-AT"/>
        </w:rPr>
        <w:t>e</w:t>
      </w:r>
      <w:r w:rsidRPr="004137FD">
        <w:rPr>
          <w:rFonts w:ascii="Arial" w:hAnsi="Arial" w:cs="Tahoma"/>
          <w:b/>
          <w:bCs/>
          <w:sz w:val="20"/>
          <w:szCs w:val="20"/>
          <w:lang w:val="de-AT"/>
        </w:rPr>
        <w:t xml:space="preserve"> nun aus drei ganz unterschiedlichen Blickwinkeln b</w:t>
      </w:r>
      <w:r w:rsidRPr="004137FD">
        <w:rPr>
          <w:rFonts w:ascii="Arial" w:hAnsi="Arial" w:cs="Tahoma"/>
          <w:b/>
          <w:bCs/>
          <w:sz w:val="20"/>
          <w:szCs w:val="20"/>
          <w:lang w:val="de-AT"/>
        </w:rPr>
        <w:t>e</w:t>
      </w:r>
      <w:r w:rsidRPr="004137FD">
        <w:rPr>
          <w:rFonts w:ascii="Arial" w:hAnsi="Arial" w:cs="Tahoma"/>
          <w:b/>
          <w:bCs/>
          <w:sz w:val="20"/>
          <w:szCs w:val="20"/>
          <w:lang w:val="de-AT"/>
        </w:rPr>
        <w:t>trachten: sowohl aus Organisations- wie auch aus Kosten- und Kapaz</w:t>
      </w:r>
      <w:r w:rsidRPr="004137FD">
        <w:rPr>
          <w:rFonts w:ascii="Arial" w:hAnsi="Arial" w:cs="Tahoma"/>
          <w:b/>
          <w:bCs/>
          <w:sz w:val="20"/>
          <w:szCs w:val="20"/>
          <w:lang w:val="de-AT"/>
        </w:rPr>
        <w:t>i</w:t>
      </w:r>
      <w:r w:rsidR="00953399">
        <w:rPr>
          <w:rFonts w:ascii="Arial" w:hAnsi="Arial" w:cs="Tahoma"/>
          <w:b/>
          <w:bCs/>
          <w:sz w:val="20"/>
          <w:szCs w:val="20"/>
          <w:lang w:val="de-AT"/>
        </w:rPr>
        <w:t>tätssicht</w:t>
      </w:r>
      <w:r w:rsidRPr="004137FD">
        <w:rPr>
          <w:rFonts w:ascii="Arial" w:hAnsi="Arial" w:cs="Tahoma"/>
          <w:b/>
          <w:bCs/>
          <w:sz w:val="20"/>
          <w:szCs w:val="20"/>
          <w:lang w:val="de-AT"/>
        </w:rPr>
        <w:t>. PS-</w:t>
      </w:r>
      <w:proofErr w:type="spellStart"/>
      <w:r w:rsidRPr="004137FD">
        <w:rPr>
          <w:rFonts w:ascii="Arial" w:hAnsi="Arial" w:cs="Tahoma"/>
          <w:b/>
          <w:bCs/>
          <w:sz w:val="20"/>
          <w:szCs w:val="20"/>
          <w:lang w:val="de-AT"/>
        </w:rPr>
        <w:t>Energy</w:t>
      </w:r>
      <w:proofErr w:type="spellEnd"/>
      <w:r w:rsidRPr="004137FD">
        <w:rPr>
          <w:rFonts w:ascii="Arial" w:hAnsi="Arial" w:cs="Tahoma"/>
          <w:b/>
          <w:bCs/>
          <w:sz w:val="20"/>
          <w:szCs w:val="20"/>
          <w:lang w:val="de-AT"/>
        </w:rPr>
        <w:t xml:space="preserve"> ist darüber hinaus die einzige Lösung auf dem Markt, mit der Versorgungsunternehmen die Prozesskosten nicht nur auf Ko</w:t>
      </w:r>
      <w:r w:rsidRPr="004137FD">
        <w:rPr>
          <w:rFonts w:ascii="Arial" w:hAnsi="Arial" w:cs="Tahoma"/>
          <w:b/>
          <w:bCs/>
          <w:sz w:val="20"/>
          <w:szCs w:val="20"/>
          <w:lang w:val="de-AT"/>
        </w:rPr>
        <w:t>s</w:t>
      </w:r>
      <w:r w:rsidRPr="004137FD">
        <w:rPr>
          <w:rFonts w:ascii="Arial" w:hAnsi="Arial" w:cs="Tahoma"/>
          <w:b/>
          <w:bCs/>
          <w:sz w:val="20"/>
          <w:szCs w:val="20"/>
          <w:lang w:val="de-AT"/>
        </w:rPr>
        <w:t>tenstellenbasis auswerten, sondern bis auf die Ebene einzelner Buchu</w:t>
      </w:r>
      <w:r w:rsidRPr="004137FD">
        <w:rPr>
          <w:rFonts w:ascii="Arial" w:hAnsi="Arial" w:cs="Tahoma"/>
          <w:b/>
          <w:bCs/>
          <w:sz w:val="20"/>
          <w:szCs w:val="20"/>
          <w:lang w:val="de-AT"/>
        </w:rPr>
        <w:t>n</w:t>
      </w:r>
      <w:r w:rsidRPr="004137FD">
        <w:rPr>
          <w:rFonts w:ascii="Arial" w:hAnsi="Arial" w:cs="Tahoma"/>
          <w:b/>
          <w:bCs/>
          <w:sz w:val="20"/>
          <w:szCs w:val="20"/>
          <w:lang w:val="de-AT"/>
        </w:rPr>
        <w:t>gen verursachergerecht zuordnen können. Damit liefert die Analyse mit PS-</w:t>
      </w:r>
      <w:proofErr w:type="spellStart"/>
      <w:r w:rsidRPr="004137FD">
        <w:rPr>
          <w:rFonts w:ascii="Arial" w:hAnsi="Arial" w:cs="Tahoma"/>
          <w:b/>
          <w:bCs/>
          <w:sz w:val="20"/>
          <w:szCs w:val="20"/>
          <w:lang w:val="de-AT"/>
        </w:rPr>
        <w:t>Energy</w:t>
      </w:r>
      <w:proofErr w:type="spellEnd"/>
      <w:r w:rsidRPr="004137FD">
        <w:rPr>
          <w:rFonts w:ascii="Arial" w:hAnsi="Arial" w:cs="Tahoma"/>
          <w:b/>
          <w:bCs/>
          <w:sz w:val="20"/>
          <w:szCs w:val="20"/>
          <w:lang w:val="de-AT"/>
        </w:rPr>
        <w:t xml:space="preserve"> das Fundament für die nachhaltige Optimierung aller Unte</w:t>
      </w:r>
      <w:r w:rsidRPr="004137FD">
        <w:rPr>
          <w:rFonts w:ascii="Arial" w:hAnsi="Arial" w:cs="Tahoma"/>
          <w:b/>
          <w:bCs/>
          <w:sz w:val="20"/>
          <w:szCs w:val="20"/>
          <w:lang w:val="de-AT"/>
        </w:rPr>
        <w:t>r</w:t>
      </w:r>
      <w:r w:rsidRPr="004137FD">
        <w:rPr>
          <w:rFonts w:ascii="Arial" w:hAnsi="Arial" w:cs="Tahoma"/>
          <w:b/>
          <w:bCs/>
          <w:sz w:val="20"/>
          <w:szCs w:val="20"/>
          <w:lang w:val="de-AT"/>
        </w:rPr>
        <w:t>nehmensabläufe und erschließt die damit verbundenen Einsparungseffe</w:t>
      </w:r>
      <w:r w:rsidRPr="004137FD">
        <w:rPr>
          <w:rFonts w:ascii="Arial" w:hAnsi="Arial" w:cs="Tahoma"/>
          <w:b/>
          <w:bCs/>
          <w:sz w:val="20"/>
          <w:szCs w:val="20"/>
          <w:lang w:val="de-AT"/>
        </w:rPr>
        <w:t>k</w:t>
      </w:r>
      <w:r w:rsidRPr="004137FD">
        <w:rPr>
          <w:rFonts w:ascii="Arial" w:hAnsi="Arial" w:cs="Tahoma"/>
          <w:b/>
          <w:bCs/>
          <w:sz w:val="20"/>
          <w:szCs w:val="20"/>
          <w:lang w:val="de-AT"/>
        </w:rPr>
        <w:t xml:space="preserve">te. Das Instrument </w:t>
      </w:r>
      <w:r w:rsidR="0030091A">
        <w:rPr>
          <w:rFonts w:ascii="Arial" w:hAnsi="Arial" w:cs="Tahoma"/>
          <w:b/>
          <w:bCs/>
          <w:sz w:val="20"/>
          <w:szCs w:val="20"/>
          <w:lang w:val="de-AT"/>
        </w:rPr>
        <w:t>wird</w:t>
      </w:r>
      <w:r w:rsidRPr="004137FD">
        <w:rPr>
          <w:rFonts w:ascii="Arial" w:hAnsi="Arial" w:cs="Tahoma"/>
          <w:b/>
          <w:bCs/>
          <w:sz w:val="20"/>
          <w:szCs w:val="20"/>
          <w:lang w:val="de-AT"/>
        </w:rPr>
        <w:t xml:space="preserve"> bereits bei </w:t>
      </w:r>
      <w:r w:rsidR="0030091A">
        <w:rPr>
          <w:rFonts w:ascii="Arial" w:hAnsi="Arial" w:cs="Tahoma"/>
          <w:b/>
          <w:bCs/>
          <w:sz w:val="20"/>
          <w:szCs w:val="20"/>
          <w:lang w:val="de-AT"/>
        </w:rPr>
        <w:t>kleinen und mittleren Stadtwerken s</w:t>
      </w:r>
      <w:r w:rsidR="0030091A">
        <w:rPr>
          <w:rFonts w:ascii="Arial" w:hAnsi="Arial" w:cs="Tahoma"/>
          <w:b/>
          <w:bCs/>
          <w:sz w:val="20"/>
          <w:szCs w:val="20"/>
          <w:lang w:val="de-AT"/>
        </w:rPr>
        <w:t>o</w:t>
      </w:r>
      <w:r w:rsidR="0030091A">
        <w:rPr>
          <w:rFonts w:ascii="Arial" w:hAnsi="Arial" w:cs="Tahoma"/>
          <w:b/>
          <w:bCs/>
          <w:sz w:val="20"/>
          <w:szCs w:val="20"/>
          <w:lang w:val="de-AT"/>
        </w:rPr>
        <w:t>wie Regionalversorgern</w:t>
      </w:r>
      <w:r w:rsidRPr="004137FD">
        <w:rPr>
          <w:rFonts w:ascii="Arial" w:hAnsi="Arial" w:cs="Tahoma"/>
          <w:b/>
          <w:bCs/>
          <w:sz w:val="20"/>
          <w:szCs w:val="20"/>
          <w:lang w:val="de-AT"/>
        </w:rPr>
        <w:t xml:space="preserve"> eingesetzt.</w:t>
      </w:r>
    </w:p>
    <w:p w14:paraId="379054EF" w14:textId="7E216AC1" w:rsidR="002A7E29" w:rsidRPr="000655B7" w:rsidRDefault="00406C69" w:rsidP="002A7E29">
      <w:pPr>
        <w:spacing w:line="360" w:lineRule="auto"/>
        <w:rPr>
          <w:rFonts w:ascii="Arial" w:hAnsi="Arial" w:cs="Tahoma"/>
          <w:sz w:val="20"/>
          <w:szCs w:val="20"/>
        </w:rPr>
      </w:pPr>
      <w:r>
        <w:rPr>
          <w:rFonts w:ascii="Arial" w:hAnsi="Arial" w:cs="Tahoma"/>
          <w:sz w:val="20"/>
          <w:szCs w:val="20"/>
        </w:rPr>
        <w:t xml:space="preserve">Durch die softwarebasierte </w:t>
      </w:r>
      <w:r w:rsidR="004137FD">
        <w:rPr>
          <w:rFonts w:ascii="Arial" w:hAnsi="Arial" w:cs="Tahoma"/>
          <w:sz w:val="20"/>
          <w:szCs w:val="20"/>
        </w:rPr>
        <w:t>Prozesskostenanalyse</w:t>
      </w:r>
      <w:r>
        <w:rPr>
          <w:rFonts w:ascii="Arial" w:hAnsi="Arial" w:cs="Tahoma"/>
          <w:sz w:val="20"/>
          <w:szCs w:val="20"/>
        </w:rPr>
        <w:t xml:space="preserve"> </w:t>
      </w:r>
      <w:r w:rsidR="007768B7">
        <w:rPr>
          <w:rFonts w:ascii="Arial" w:hAnsi="Arial" w:cs="Tahoma"/>
          <w:sz w:val="20"/>
          <w:szCs w:val="20"/>
        </w:rPr>
        <w:t>mit PS-</w:t>
      </w:r>
      <w:proofErr w:type="spellStart"/>
      <w:r w:rsidR="007768B7">
        <w:rPr>
          <w:rFonts w:ascii="Arial" w:hAnsi="Arial" w:cs="Tahoma"/>
          <w:sz w:val="20"/>
          <w:szCs w:val="20"/>
        </w:rPr>
        <w:t>Energy</w:t>
      </w:r>
      <w:proofErr w:type="spellEnd"/>
      <w:r w:rsidR="007768B7">
        <w:rPr>
          <w:rFonts w:ascii="Arial" w:hAnsi="Arial" w:cs="Tahoma"/>
          <w:sz w:val="20"/>
          <w:szCs w:val="20"/>
        </w:rPr>
        <w:t xml:space="preserve"> </w:t>
      </w:r>
      <w:r>
        <w:rPr>
          <w:rFonts w:ascii="Arial" w:hAnsi="Arial" w:cs="Tahoma"/>
          <w:sz w:val="20"/>
          <w:szCs w:val="20"/>
        </w:rPr>
        <w:t>sind Verso</w:t>
      </w:r>
      <w:r>
        <w:rPr>
          <w:rFonts w:ascii="Arial" w:hAnsi="Arial" w:cs="Tahoma"/>
          <w:sz w:val="20"/>
          <w:szCs w:val="20"/>
        </w:rPr>
        <w:t>r</w:t>
      </w:r>
      <w:r>
        <w:rPr>
          <w:rFonts w:ascii="Arial" w:hAnsi="Arial" w:cs="Tahoma"/>
          <w:sz w:val="20"/>
          <w:szCs w:val="20"/>
        </w:rPr>
        <w:t>gungsunternehmen</w:t>
      </w:r>
      <w:r w:rsidR="00AC6091">
        <w:rPr>
          <w:rFonts w:ascii="Arial" w:hAnsi="Arial" w:cs="Tahoma"/>
          <w:sz w:val="20"/>
          <w:szCs w:val="20"/>
        </w:rPr>
        <w:t xml:space="preserve"> </w:t>
      </w:r>
      <w:r>
        <w:rPr>
          <w:rFonts w:ascii="Arial" w:hAnsi="Arial" w:cs="Tahoma"/>
          <w:sz w:val="20"/>
          <w:szCs w:val="20"/>
        </w:rPr>
        <w:t>in der Lage, die Effekte von Optimierungsmaßnahmen s</w:t>
      </w:r>
      <w:r>
        <w:rPr>
          <w:rFonts w:ascii="Arial" w:hAnsi="Arial" w:cs="Tahoma"/>
          <w:sz w:val="20"/>
          <w:szCs w:val="20"/>
        </w:rPr>
        <w:t>o</w:t>
      </w:r>
      <w:r>
        <w:rPr>
          <w:rFonts w:ascii="Arial" w:hAnsi="Arial" w:cs="Tahoma"/>
          <w:sz w:val="20"/>
          <w:szCs w:val="20"/>
        </w:rPr>
        <w:t xml:space="preserve">fort zu überprüfen und gegebenenfalls </w:t>
      </w:r>
      <w:proofErr w:type="spellStart"/>
      <w:r>
        <w:rPr>
          <w:rFonts w:ascii="Arial" w:hAnsi="Arial" w:cs="Tahoma"/>
          <w:sz w:val="20"/>
          <w:szCs w:val="20"/>
        </w:rPr>
        <w:t>nachzujustieren</w:t>
      </w:r>
      <w:proofErr w:type="spellEnd"/>
      <w:r>
        <w:rPr>
          <w:rFonts w:ascii="Arial" w:hAnsi="Arial" w:cs="Tahoma"/>
          <w:sz w:val="20"/>
          <w:szCs w:val="20"/>
        </w:rPr>
        <w:t xml:space="preserve">. Denn </w:t>
      </w:r>
      <w:r w:rsidR="00AC6091">
        <w:rPr>
          <w:rFonts w:ascii="Arial" w:hAnsi="Arial" w:cs="Tahoma"/>
          <w:sz w:val="20"/>
          <w:szCs w:val="20"/>
        </w:rPr>
        <w:t xml:space="preserve">sie können die Erfassung der Daten jederzeit eigenständig wiederholen und erneut auswerten. </w:t>
      </w:r>
      <w:r>
        <w:rPr>
          <w:rFonts w:ascii="Arial" w:hAnsi="Arial" w:cs="Tahoma"/>
          <w:sz w:val="20"/>
          <w:szCs w:val="20"/>
        </w:rPr>
        <w:t xml:space="preserve">Dies ist </w:t>
      </w:r>
      <w:r w:rsidR="00AC6091">
        <w:rPr>
          <w:rFonts w:ascii="Arial" w:hAnsi="Arial" w:cs="Tahoma"/>
          <w:sz w:val="20"/>
          <w:szCs w:val="20"/>
        </w:rPr>
        <w:t>ein weiterer</w:t>
      </w:r>
      <w:r>
        <w:rPr>
          <w:rFonts w:ascii="Arial" w:hAnsi="Arial" w:cs="Tahoma"/>
          <w:sz w:val="20"/>
          <w:szCs w:val="20"/>
        </w:rPr>
        <w:t xml:space="preserve"> Vorteil gegenüber herkömmlichen Verfahren auf Date</w:t>
      </w:r>
      <w:r>
        <w:rPr>
          <w:rFonts w:ascii="Arial" w:hAnsi="Arial" w:cs="Tahoma"/>
          <w:sz w:val="20"/>
          <w:szCs w:val="20"/>
        </w:rPr>
        <w:t>n</w:t>
      </w:r>
      <w:r>
        <w:rPr>
          <w:rFonts w:ascii="Arial" w:hAnsi="Arial" w:cs="Tahoma"/>
          <w:sz w:val="20"/>
          <w:szCs w:val="20"/>
        </w:rPr>
        <w:t xml:space="preserve">bank- oder Excel-Basis, die </w:t>
      </w:r>
      <w:r w:rsidR="00AC6091">
        <w:rPr>
          <w:rFonts w:ascii="Arial" w:hAnsi="Arial" w:cs="Tahoma"/>
          <w:sz w:val="20"/>
          <w:szCs w:val="20"/>
        </w:rPr>
        <w:t>im Rahmen von aufwändigen Projekten in der R</w:t>
      </w:r>
      <w:r w:rsidR="00AC6091">
        <w:rPr>
          <w:rFonts w:ascii="Arial" w:hAnsi="Arial" w:cs="Tahoma"/>
          <w:sz w:val="20"/>
          <w:szCs w:val="20"/>
        </w:rPr>
        <w:t>e</w:t>
      </w:r>
      <w:r w:rsidR="00AC6091">
        <w:rPr>
          <w:rFonts w:ascii="Arial" w:hAnsi="Arial" w:cs="Tahoma"/>
          <w:sz w:val="20"/>
          <w:szCs w:val="20"/>
        </w:rPr>
        <w:t xml:space="preserve">gel nur </w:t>
      </w:r>
      <w:r>
        <w:rPr>
          <w:rFonts w:ascii="Arial" w:hAnsi="Arial" w:cs="Tahoma"/>
          <w:sz w:val="20"/>
          <w:szCs w:val="20"/>
        </w:rPr>
        <w:t xml:space="preserve">Momentaufnahmen liefern. </w:t>
      </w:r>
      <w:r w:rsidR="00CD5183">
        <w:rPr>
          <w:rFonts w:ascii="Arial" w:hAnsi="Arial" w:cs="Tahoma"/>
          <w:sz w:val="20"/>
          <w:szCs w:val="20"/>
        </w:rPr>
        <w:t>Mithilfe</w:t>
      </w:r>
      <w:r w:rsidR="007768B7">
        <w:rPr>
          <w:rFonts w:ascii="Arial" w:hAnsi="Arial" w:cs="Tahoma"/>
          <w:sz w:val="20"/>
          <w:szCs w:val="20"/>
        </w:rPr>
        <w:t xml:space="preserve"> des </w:t>
      </w:r>
      <w:proofErr w:type="spellStart"/>
      <w:r w:rsidR="007768B7">
        <w:rPr>
          <w:rFonts w:ascii="Arial" w:hAnsi="Arial" w:cs="Tahoma"/>
          <w:sz w:val="20"/>
          <w:szCs w:val="20"/>
        </w:rPr>
        <w:t>Vivax</w:t>
      </w:r>
      <w:proofErr w:type="spellEnd"/>
      <w:r w:rsidR="007768B7">
        <w:rPr>
          <w:rFonts w:ascii="Arial" w:hAnsi="Arial" w:cs="Tahoma"/>
          <w:sz w:val="20"/>
          <w:szCs w:val="20"/>
        </w:rPr>
        <w:t>-Prozessmodells und</w:t>
      </w:r>
      <w:r w:rsidR="00AC6091">
        <w:rPr>
          <w:rFonts w:ascii="Arial" w:hAnsi="Arial" w:cs="Tahoma"/>
          <w:sz w:val="20"/>
          <w:szCs w:val="20"/>
        </w:rPr>
        <w:t xml:space="preserve"> PS-</w:t>
      </w:r>
      <w:proofErr w:type="spellStart"/>
      <w:r w:rsidR="00AC6091">
        <w:rPr>
          <w:rFonts w:ascii="Arial" w:hAnsi="Arial" w:cs="Tahoma"/>
          <w:sz w:val="20"/>
          <w:szCs w:val="20"/>
        </w:rPr>
        <w:t>Energy</w:t>
      </w:r>
      <w:proofErr w:type="spellEnd"/>
      <w:r w:rsidR="00AC6091">
        <w:rPr>
          <w:rFonts w:ascii="Arial" w:hAnsi="Arial" w:cs="Tahoma"/>
          <w:sz w:val="20"/>
          <w:szCs w:val="20"/>
        </w:rPr>
        <w:t xml:space="preserve"> </w:t>
      </w:r>
      <w:r w:rsidR="00CD5183">
        <w:rPr>
          <w:rFonts w:ascii="Arial" w:hAnsi="Arial" w:cs="Tahoma"/>
          <w:sz w:val="20"/>
          <w:szCs w:val="20"/>
        </w:rPr>
        <w:t xml:space="preserve">ist es dagegen </w:t>
      </w:r>
      <w:r w:rsidR="007768B7">
        <w:rPr>
          <w:rFonts w:ascii="Arial" w:hAnsi="Arial" w:cs="Tahoma"/>
          <w:sz w:val="20"/>
          <w:szCs w:val="20"/>
        </w:rPr>
        <w:t xml:space="preserve">möglich, </w:t>
      </w:r>
      <w:r w:rsidR="00AC6091">
        <w:rPr>
          <w:rFonts w:ascii="Arial" w:hAnsi="Arial" w:cs="Tahoma"/>
          <w:sz w:val="20"/>
          <w:szCs w:val="20"/>
        </w:rPr>
        <w:t>einen kontinuierlichen Verbesserungsprozess auf</w:t>
      </w:r>
      <w:r w:rsidR="007768B7">
        <w:rPr>
          <w:rFonts w:ascii="Arial" w:hAnsi="Arial" w:cs="Tahoma"/>
          <w:sz w:val="20"/>
          <w:szCs w:val="20"/>
        </w:rPr>
        <w:t>zu</w:t>
      </w:r>
      <w:r w:rsidR="00AC6091">
        <w:rPr>
          <w:rFonts w:ascii="Arial" w:hAnsi="Arial" w:cs="Tahoma"/>
          <w:sz w:val="20"/>
          <w:szCs w:val="20"/>
        </w:rPr>
        <w:t xml:space="preserve">setzen und so </w:t>
      </w:r>
      <w:r w:rsidR="007768B7">
        <w:rPr>
          <w:rFonts w:ascii="Arial" w:hAnsi="Arial" w:cs="Tahoma"/>
          <w:sz w:val="20"/>
          <w:szCs w:val="20"/>
        </w:rPr>
        <w:t>die</w:t>
      </w:r>
      <w:r w:rsidR="00AC6091">
        <w:rPr>
          <w:rFonts w:ascii="Arial" w:hAnsi="Arial" w:cs="Tahoma"/>
          <w:sz w:val="20"/>
          <w:szCs w:val="20"/>
        </w:rPr>
        <w:t xml:space="preserve"> Wettbewerbsfähigkeit immer weiter </w:t>
      </w:r>
      <w:r w:rsidR="007768B7">
        <w:rPr>
          <w:rFonts w:ascii="Arial" w:hAnsi="Arial" w:cs="Tahoma"/>
          <w:sz w:val="20"/>
          <w:szCs w:val="20"/>
        </w:rPr>
        <w:t xml:space="preserve">zu </w:t>
      </w:r>
      <w:r w:rsidR="00AC6091">
        <w:rPr>
          <w:rFonts w:ascii="Arial" w:hAnsi="Arial" w:cs="Tahoma"/>
          <w:sz w:val="20"/>
          <w:szCs w:val="20"/>
        </w:rPr>
        <w:t>steigern.</w:t>
      </w:r>
    </w:p>
    <w:p w14:paraId="5B005D5F" w14:textId="77777777" w:rsidR="00463FE6" w:rsidRPr="000655B7" w:rsidRDefault="00463FE6" w:rsidP="00E37F9E">
      <w:pPr>
        <w:rPr>
          <w:rFonts w:ascii="Arial" w:hAnsi="Arial" w:cs="Tahoma"/>
          <w:sz w:val="20"/>
          <w:szCs w:val="20"/>
        </w:rPr>
      </w:pPr>
    </w:p>
    <w:tbl>
      <w:tblPr>
        <w:tblW w:w="9180" w:type="dxa"/>
        <w:tblLook w:val="04A0" w:firstRow="1" w:lastRow="0" w:firstColumn="1" w:lastColumn="0" w:noHBand="0" w:noVBand="1"/>
      </w:tblPr>
      <w:tblGrid>
        <w:gridCol w:w="4361"/>
        <w:gridCol w:w="4819"/>
      </w:tblGrid>
      <w:tr w:rsidR="00CD3EF6" w:rsidRPr="000655B7" w14:paraId="776D8C01" w14:textId="77777777" w:rsidTr="00CD3EF6">
        <w:tc>
          <w:tcPr>
            <w:tcW w:w="4361" w:type="dxa"/>
            <w:shd w:val="clear" w:color="auto" w:fill="auto"/>
          </w:tcPr>
          <w:p w14:paraId="380AE0B3" w14:textId="2385A564" w:rsidR="00CD3EF6" w:rsidRPr="000655B7" w:rsidRDefault="00CD3EF6" w:rsidP="00CD3EF6">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0655B7">
              <w:rPr>
                <w:rFonts w:ascii="Arial" w:hAnsi="Arial" w:cs="Calibri"/>
                <w:b/>
                <w:sz w:val="16"/>
                <w:szCs w:val="26"/>
                <w:lang w:eastAsia="de-DE"/>
              </w:rPr>
              <w:lastRenderedPageBreak/>
              <w:t>Kontaktdaten:</w:t>
            </w:r>
            <w:r w:rsidRPr="000655B7">
              <w:rPr>
                <w:rFonts w:ascii="Arial" w:hAnsi="Arial" w:cs="Calibri"/>
                <w:b/>
                <w:sz w:val="16"/>
                <w:szCs w:val="26"/>
                <w:lang w:eastAsia="de-DE"/>
              </w:rPr>
              <w:br/>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GmbH – Dirk </w:t>
            </w:r>
            <w:proofErr w:type="spellStart"/>
            <w:r w:rsidRPr="000655B7">
              <w:rPr>
                <w:rFonts w:ascii="Arial" w:hAnsi="Arial" w:cs="Calibri"/>
                <w:sz w:val="16"/>
                <w:szCs w:val="26"/>
                <w:lang w:eastAsia="de-DE"/>
              </w:rPr>
              <w:t>Fieml</w:t>
            </w:r>
            <w:proofErr w:type="spellEnd"/>
            <w:r w:rsidRPr="000655B7">
              <w:rPr>
                <w:rFonts w:ascii="Arial" w:hAnsi="Arial" w:cs="Calibri"/>
                <w:sz w:val="16"/>
                <w:szCs w:val="26"/>
                <w:lang w:eastAsia="de-DE"/>
              </w:rPr>
              <w:br/>
              <w:t xml:space="preserve">Gutenbergstraße 9 – 85098 </w:t>
            </w:r>
            <w:proofErr w:type="spellStart"/>
            <w:r w:rsidRPr="000655B7">
              <w:rPr>
                <w:rFonts w:ascii="Arial" w:hAnsi="Arial" w:cs="Calibri"/>
                <w:sz w:val="16"/>
                <w:szCs w:val="26"/>
                <w:lang w:eastAsia="de-DE"/>
              </w:rPr>
              <w:t>Großmehring</w:t>
            </w:r>
            <w:proofErr w:type="spellEnd"/>
            <w:r w:rsidRPr="000655B7">
              <w:rPr>
                <w:rFonts w:ascii="Arial" w:hAnsi="Arial" w:cs="Calibri"/>
                <w:sz w:val="16"/>
                <w:szCs w:val="26"/>
                <w:lang w:eastAsia="de-DE"/>
              </w:rPr>
              <w:br/>
              <w:t>Tel: +49 8456 91960-80 –Fax: +49 8456 91960-88</w:t>
            </w:r>
            <w:r w:rsidRPr="000655B7">
              <w:rPr>
                <w:rFonts w:ascii="Arial" w:hAnsi="Arial" w:cs="Calibri"/>
                <w:sz w:val="16"/>
                <w:szCs w:val="26"/>
                <w:lang w:eastAsia="de-DE"/>
              </w:rPr>
              <w:br/>
            </w:r>
            <w:hyperlink r:id="rId8" w:history="1">
              <w:r w:rsidR="00314048" w:rsidRPr="00A62235">
                <w:rPr>
                  <w:rStyle w:val="Link"/>
                  <w:rFonts w:ascii="Arial" w:hAnsi="Arial" w:cs="Calibri"/>
                  <w:sz w:val="16"/>
                  <w:szCs w:val="26"/>
                  <w:lang w:eastAsia="de-DE"/>
                </w:rPr>
                <w:t>d.fieml@vivax-consulting.de</w:t>
              </w:r>
            </w:hyperlink>
            <w:r w:rsidRPr="000655B7">
              <w:rPr>
                <w:rFonts w:ascii="Arial" w:hAnsi="Arial" w:cs="Calibri"/>
                <w:sz w:val="16"/>
                <w:szCs w:val="26"/>
                <w:lang w:eastAsia="de-DE"/>
              </w:rPr>
              <w:br/>
              <w:t>www.vivax-consulting.de</w:t>
            </w:r>
          </w:p>
          <w:p w14:paraId="145B0F0B" w14:textId="77777777" w:rsidR="00CD3EF6" w:rsidRPr="000655B7" w:rsidRDefault="00CD3EF6" w:rsidP="00CD3EF6">
            <w:pPr>
              <w:widowControl w:val="0"/>
              <w:tabs>
                <w:tab w:val="left" w:pos="2977"/>
                <w:tab w:val="left" w:pos="3969"/>
              </w:tabs>
              <w:autoSpaceDE w:val="0"/>
              <w:autoSpaceDN w:val="0"/>
              <w:adjustRightInd w:val="0"/>
              <w:spacing w:line="240" w:lineRule="auto"/>
              <w:ind w:right="176"/>
              <w:rPr>
                <w:rFonts w:ascii="Arial" w:hAnsi="Arial" w:cs="Calibri"/>
                <w:color w:val="0000FF"/>
                <w:sz w:val="16"/>
                <w:szCs w:val="26"/>
                <w:u w:val="single"/>
                <w:lang w:val="en-US" w:eastAsia="de-DE"/>
              </w:rPr>
            </w:pPr>
          </w:p>
        </w:tc>
        <w:tc>
          <w:tcPr>
            <w:tcW w:w="4819" w:type="dxa"/>
            <w:shd w:val="clear" w:color="auto" w:fill="auto"/>
          </w:tcPr>
          <w:p w14:paraId="045CCE93" w14:textId="77777777" w:rsidR="00CD3EF6" w:rsidRPr="000655B7" w:rsidRDefault="00CD3EF6" w:rsidP="00CD3EF6">
            <w:pPr>
              <w:widowControl w:val="0"/>
              <w:autoSpaceDE w:val="0"/>
              <w:autoSpaceDN w:val="0"/>
              <w:adjustRightInd w:val="0"/>
              <w:spacing w:line="240" w:lineRule="auto"/>
              <w:ind w:left="34" w:right="742"/>
              <w:rPr>
                <w:rFonts w:ascii="Arial" w:hAnsi="Arial" w:cs="Calibri"/>
                <w:b/>
                <w:sz w:val="16"/>
                <w:szCs w:val="26"/>
                <w:lang w:eastAsia="de-DE"/>
              </w:rPr>
            </w:pPr>
            <w:r w:rsidRPr="000655B7">
              <w:rPr>
                <w:rFonts w:ascii="Arial" w:hAnsi="Arial" w:cs="Calibri"/>
                <w:b/>
                <w:sz w:val="16"/>
                <w:szCs w:val="26"/>
                <w:lang w:eastAsia="de-DE"/>
              </w:rPr>
              <w:t>Presse- und Öffentlichkeitsarbeit:</w:t>
            </w:r>
            <w:r w:rsidRPr="000655B7">
              <w:rPr>
                <w:rFonts w:ascii="Arial" w:hAnsi="Arial" w:cs="Calibri"/>
                <w:b/>
                <w:sz w:val="16"/>
                <w:szCs w:val="26"/>
                <w:lang w:eastAsia="de-DE"/>
              </w:rPr>
              <w:br/>
            </w:r>
            <w:r w:rsidRPr="000655B7">
              <w:rPr>
                <w:rFonts w:ascii="Arial" w:hAnsi="Arial" w:cs="Calibri"/>
                <w:sz w:val="16"/>
                <w:szCs w:val="26"/>
                <w:lang w:eastAsia="de-DE"/>
              </w:rPr>
              <w:t>Uwe Pagel – Press’n’Relations GmbH</w:t>
            </w:r>
            <w:r w:rsidRPr="000655B7">
              <w:rPr>
                <w:rFonts w:ascii="Arial" w:hAnsi="Arial" w:cs="Calibri"/>
                <w:sz w:val="16"/>
                <w:szCs w:val="26"/>
                <w:lang w:eastAsia="de-DE"/>
              </w:rPr>
              <w:br/>
              <w:t>Magirusstraße 33 – D-89077 Ulm</w:t>
            </w:r>
            <w:r w:rsidRPr="000655B7">
              <w:rPr>
                <w:rFonts w:ascii="Arial" w:hAnsi="Arial" w:cs="Calibri"/>
                <w:sz w:val="16"/>
                <w:szCs w:val="26"/>
                <w:lang w:eastAsia="de-DE"/>
              </w:rPr>
              <w:br/>
              <w:t>Tel.: +49 731 962 87-29 – Fax: +49 731 962 87-97</w:t>
            </w:r>
            <w:r w:rsidRPr="000655B7">
              <w:rPr>
                <w:rFonts w:ascii="Arial" w:hAnsi="Arial" w:cs="Calibri"/>
                <w:sz w:val="16"/>
                <w:szCs w:val="26"/>
                <w:lang w:eastAsia="de-DE"/>
              </w:rPr>
              <w:br/>
            </w:r>
            <w:hyperlink r:id="rId9" w:history="1">
              <w:r w:rsidRPr="000655B7">
                <w:rPr>
                  <w:rStyle w:val="Link"/>
                  <w:rFonts w:ascii="Arial" w:hAnsi="Arial" w:cs="Calibri"/>
                  <w:sz w:val="16"/>
                  <w:szCs w:val="26"/>
                  <w:lang w:eastAsia="de-DE"/>
                </w:rPr>
                <w:t>upa@press-n-relations.de</w:t>
              </w:r>
            </w:hyperlink>
            <w:r w:rsidRPr="000655B7">
              <w:rPr>
                <w:rFonts w:ascii="Arial" w:hAnsi="Arial" w:cs="Calibri"/>
                <w:sz w:val="16"/>
                <w:szCs w:val="26"/>
                <w:lang w:eastAsia="de-DE"/>
              </w:rPr>
              <w:br/>
              <w:t>www.press-n-relations.com</w:t>
            </w:r>
          </w:p>
        </w:tc>
      </w:tr>
    </w:tbl>
    <w:p w14:paraId="40A101D1" w14:textId="1700F6D3" w:rsidR="001D2FB7" w:rsidRPr="000655B7" w:rsidRDefault="002B3E9E" w:rsidP="002B3E9E">
      <w:pPr>
        <w:widowControl w:val="0"/>
        <w:autoSpaceDE w:val="0"/>
        <w:autoSpaceDN w:val="0"/>
        <w:adjustRightInd w:val="0"/>
        <w:spacing w:line="240" w:lineRule="auto"/>
        <w:ind w:left="34" w:right="742"/>
        <w:rPr>
          <w:rFonts w:ascii="Arial" w:hAnsi="Arial" w:cs="Calibri"/>
          <w:sz w:val="16"/>
          <w:szCs w:val="26"/>
          <w:lang w:eastAsia="de-DE"/>
        </w:rPr>
      </w:pPr>
      <w:r w:rsidRPr="000655B7">
        <w:rPr>
          <w:rFonts w:ascii="Arial" w:hAnsi="Arial" w:cs="Calibri"/>
          <w:sz w:val="16"/>
          <w:szCs w:val="26"/>
          <w:lang w:eastAsia="de-DE"/>
        </w:rPr>
        <w:t xml:space="preserve">Die </w:t>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GmbH wurde 2009 mit Sitz in Ingolstadt gegründet und ist auf die Beratung von Unternehmen aus der Versorgungswirtschaft, öffentlichen Einrichtungen wie Kliniken sowie Körperschaften des öffentlichen Rechts spezialisiert. Hinter </w:t>
      </w:r>
      <w:proofErr w:type="spellStart"/>
      <w:r w:rsidRPr="000655B7">
        <w:rPr>
          <w:rFonts w:ascii="Arial" w:hAnsi="Arial" w:cs="Calibri"/>
          <w:sz w:val="16"/>
          <w:szCs w:val="26"/>
          <w:lang w:eastAsia="de-DE"/>
        </w:rPr>
        <w:t>Vivax</w:t>
      </w:r>
      <w:proofErr w:type="spellEnd"/>
      <w:r w:rsidRPr="000655B7">
        <w:rPr>
          <w:rFonts w:ascii="Arial" w:hAnsi="Arial" w:cs="Calibri"/>
          <w:sz w:val="16"/>
          <w:szCs w:val="26"/>
          <w:lang w:eastAsia="de-DE"/>
        </w:rPr>
        <w:t xml:space="preserve"> stehen ausg</w:t>
      </w:r>
      <w:r w:rsidRPr="000655B7">
        <w:rPr>
          <w:rFonts w:ascii="Arial" w:hAnsi="Arial" w:cs="Calibri"/>
          <w:sz w:val="16"/>
          <w:szCs w:val="26"/>
          <w:lang w:eastAsia="de-DE"/>
        </w:rPr>
        <w:t>e</w:t>
      </w:r>
      <w:r w:rsidRPr="000655B7">
        <w:rPr>
          <w:rFonts w:ascii="Arial" w:hAnsi="Arial" w:cs="Calibri"/>
          <w:sz w:val="16"/>
          <w:szCs w:val="26"/>
          <w:lang w:eastAsia="de-DE"/>
        </w:rPr>
        <w:t>wiesene Experten, die über jahrelange Erfahrungen sowohl auf Unternehmensseite als auch in der Beratung verfügen. Das Unternehmen hat sich vor allem auf die Beratung in den Feldern „Management“, „Prozesse“ und „Organisation“ spezialisiert.</w:t>
      </w:r>
    </w:p>
    <w:sectPr w:rsidR="001D2FB7" w:rsidRPr="000655B7" w:rsidSect="000655B7">
      <w:headerReference w:type="default" r:id="rId10"/>
      <w:pgSz w:w="12240" w:h="15840"/>
      <w:pgMar w:top="1701" w:right="3735"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E0B8C" w14:textId="77777777" w:rsidR="00B96701" w:rsidRDefault="00B96701" w:rsidP="00BF70FE">
      <w:pPr>
        <w:spacing w:after="0" w:line="240" w:lineRule="auto"/>
      </w:pPr>
      <w:r>
        <w:separator/>
      </w:r>
    </w:p>
  </w:endnote>
  <w:endnote w:type="continuationSeparator" w:id="0">
    <w:p w14:paraId="64E82139" w14:textId="77777777" w:rsidR="00B96701" w:rsidRDefault="00B96701" w:rsidP="00BF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altName w:val="Arial"/>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F87B6" w14:textId="77777777" w:rsidR="00B96701" w:rsidRDefault="00B96701" w:rsidP="00BF70FE">
      <w:pPr>
        <w:spacing w:after="0" w:line="240" w:lineRule="auto"/>
      </w:pPr>
      <w:r>
        <w:separator/>
      </w:r>
    </w:p>
  </w:footnote>
  <w:footnote w:type="continuationSeparator" w:id="0">
    <w:p w14:paraId="1A21D84C" w14:textId="77777777" w:rsidR="00B96701" w:rsidRDefault="00B96701" w:rsidP="00BF70F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49685" w14:textId="77777777" w:rsidR="00B96701" w:rsidRDefault="00B96701" w:rsidP="002757A3">
    <w:pPr>
      <w:pStyle w:val="Kopfzeile"/>
      <w:ind w:right="-2268"/>
      <w:jc w:val="right"/>
    </w:pPr>
    <w:r>
      <w:rPr>
        <w:noProof/>
        <w:lang w:eastAsia="de-DE"/>
      </w:rPr>
      <w:drawing>
        <wp:inline distT="0" distB="0" distL="0" distR="0" wp14:anchorId="6F3DF14F" wp14:editId="365F5EBB">
          <wp:extent cx="1091184" cy="292608"/>
          <wp:effectExtent l="0" t="0" r="1270" b="1270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1091184" cy="292608"/>
                  </a:xfrm>
                  <a:prstGeom prst="rect">
                    <a:avLst/>
                  </a:prstGeom>
                </pic:spPr>
              </pic:pic>
            </a:graphicData>
          </a:graphic>
        </wp:inline>
      </w:drawing>
    </w:r>
    <w:r>
      <w:rPr>
        <w:noProof/>
        <w:lang w:eastAsia="de-DE"/>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43E9"/>
    <w:multiLevelType w:val="hybridMultilevel"/>
    <w:tmpl w:val="DE948948"/>
    <w:lvl w:ilvl="0" w:tplc="552AB81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C771EB9D-59BD-4437-BD18-A675BACDF941}"/>
    <w:docVar w:name="dgnword-eventsink" w:val="316488199920"/>
  </w:docVars>
  <w:rsids>
    <w:rsidRoot w:val="00E37F9E"/>
    <w:rsid w:val="000655B7"/>
    <w:rsid w:val="000C4746"/>
    <w:rsid w:val="00104674"/>
    <w:rsid w:val="00187FC7"/>
    <w:rsid w:val="001D2FB7"/>
    <w:rsid w:val="002757A3"/>
    <w:rsid w:val="002A7E29"/>
    <w:rsid w:val="002B3E9E"/>
    <w:rsid w:val="002D5B66"/>
    <w:rsid w:val="0030091A"/>
    <w:rsid w:val="00314048"/>
    <w:rsid w:val="003274D8"/>
    <w:rsid w:val="00362AE7"/>
    <w:rsid w:val="003953CA"/>
    <w:rsid w:val="003C0B6F"/>
    <w:rsid w:val="00406C69"/>
    <w:rsid w:val="004137FD"/>
    <w:rsid w:val="004422BD"/>
    <w:rsid w:val="00463FE6"/>
    <w:rsid w:val="00497AEF"/>
    <w:rsid w:val="00557F58"/>
    <w:rsid w:val="00576E59"/>
    <w:rsid w:val="00732F57"/>
    <w:rsid w:val="007768B7"/>
    <w:rsid w:val="00785A83"/>
    <w:rsid w:val="00785BC8"/>
    <w:rsid w:val="00822F51"/>
    <w:rsid w:val="00872E24"/>
    <w:rsid w:val="0094694E"/>
    <w:rsid w:val="00953399"/>
    <w:rsid w:val="00A257D2"/>
    <w:rsid w:val="00A32BA5"/>
    <w:rsid w:val="00A56E5A"/>
    <w:rsid w:val="00AC6091"/>
    <w:rsid w:val="00B11CFE"/>
    <w:rsid w:val="00B71C92"/>
    <w:rsid w:val="00B96701"/>
    <w:rsid w:val="00BF70FE"/>
    <w:rsid w:val="00C91823"/>
    <w:rsid w:val="00CB2102"/>
    <w:rsid w:val="00CC44E9"/>
    <w:rsid w:val="00CD3EF6"/>
    <w:rsid w:val="00CD5183"/>
    <w:rsid w:val="00D02991"/>
    <w:rsid w:val="00D16EBD"/>
    <w:rsid w:val="00E14982"/>
    <w:rsid w:val="00E26B5E"/>
    <w:rsid w:val="00E37F9E"/>
    <w:rsid w:val="00E6120F"/>
    <w:rsid w:val="00E704E3"/>
    <w:rsid w:val="00E92706"/>
    <w:rsid w:val="00EB6A45"/>
    <w:rsid w:val="00ED48B5"/>
    <w:rsid w:val="00EF43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6DF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557F58"/>
    <w:rPr>
      <w:b/>
      <w:bCs/>
    </w:rPr>
  </w:style>
  <w:style w:type="paragraph" w:styleId="Listenabsatz">
    <w:name w:val="List Paragraph"/>
    <w:basedOn w:val="Standard"/>
    <w:uiPriority w:val="34"/>
    <w:qFormat/>
    <w:rsid w:val="00104674"/>
    <w:pPr>
      <w:ind w:left="720"/>
      <w:contextualSpacing/>
    </w:pPr>
  </w:style>
  <w:style w:type="character" w:styleId="Link">
    <w:name w:val="Hyperlink"/>
    <w:basedOn w:val="Absatzstandardschriftart"/>
    <w:uiPriority w:val="99"/>
    <w:unhideWhenUsed/>
    <w:rsid w:val="00463FE6"/>
    <w:rPr>
      <w:color w:val="0563C1" w:themeColor="hyperlink"/>
      <w:u w:val="single"/>
    </w:rPr>
  </w:style>
  <w:style w:type="paragraph" w:styleId="Kopfzeile">
    <w:name w:val="header"/>
    <w:basedOn w:val="Standard"/>
    <w:link w:val="KopfzeileZeichen"/>
    <w:uiPriority w:val="99"/>
    <w:unhideWhenUsed/>
    <w:rsid w:val="00BF70FE"/>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BF70FE"/>
  </w:style>
  <w:style w:type="paragraph" w:styleId="Fuzeile">
    <w:name w:val="footer"/>
    <w:basedOn w:val="Standard"/>
    <w:link w:val="FuzeileZeichen"/>
    <w:uiPriority w:val="99"/>
    <w:unhideWhenUsed/>
    <w:rsid w:val="00BF70FE"/>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BF70FE"/>
  </w:style>
  <w:style w:type="paragraph" w:styleId="Sprechblasentext">
    <w:name w:val="Balloon Text"/>
    <w:basedOn w:val="Standard"/>
    <w:link w:val="SprechblasentextZeichen"/>
    <w:uiPriority w:val="99"/>
    <w:semiHidden/>
    <w:unhideWhenUsed/>
    <w:rsid w:val="00BF70FE"/>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BF70FE"/>
    <w:rPr>
      <w:rFonts w:ascii="Segoe UI" w:hAnsi="Segoe UI" w:cs="Segoe UI"/>
      <w:sz w:val="18"/>
      <w:szCs w:val="18"/>
    </w:rPr>
  </w:style>
  <w:style w:type="character" w:styleId="GesichteterLink">
    <w:name w:val="FollowedHyperlink"/>
    <w:basedOn w:val="Absatzstandardschriftart"/>
    <w:uiPriority w:val="99"/>
    <w:semiHidden/>
    <w:unhideWhenUsed/>
    <w:rsid w:val="00CD3EF6"/>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tont">
    <w:name w:val="Strong"/>
    <w:basedOn w:val="Absatzstandardschriftart"/>
    <w:uiPriority w:val="22"/>
    <w:qFormat/>
    <w:rsid w:val="00557F58"/>
    <w:rPr>
      <w:b/>
      <w:bCs/>
    </w:rPr>
  </w:style>
  <w:style w:type="paragraph" w:styleId="Listenabsatz">
    <w:name w:val="List Paragraph"/>
    <w:basedOn w:val="Standard"/>
    <w:uiPriority w:val="34"/>
    <w:qFormat/>
    <w:rsid w:val="00104674"/>
    <w:pPr>
      <w:ind w:left="720"/>
      <w:contextualSpacing/>
    </w:pPr>
  </w:style>
  <w:style w:type="character" w:styleId="Link">
    <w:name w:val="Hyperlink"/>
    <w:basedOn w:val="Absatzstandardschriftart"/>
    <w:uiPriority w:val="99"/>
    <w:unhideWhenUsed/>
    <w:rsid w:val="00463FE6"/>
    <w:rPr>
      <w:color w:val="0563C1" w:themeColor="hyperlink"/>
      <w:u w:val="single"/>
    </w:rPr>
  </w:style>
  <w:style w:type="paragraph" w:styleId="Kopfzeile">
    <w:name w:val="header"/>
    <w:basedOn w:val="Standard"/>
    <w:link w:val="KopfzeileZeichen"/>
    <w:uiPriority w:val="99"/>
    <w:unhideWhenUsed/>
    <w:rsid w:val="00BF70FE"/>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BF70FE"/>
  </w:style>
  <w:style w:type="paragraph" w:styleId="Fuzeile">
    <w:name w:val="footer"/>
    <w:basedOn w:val="Standard"/>
    <w:link w:val="FuzeileZeichen"/>
    <w:uiPriority w:val="99"/>
    <w:unhideWhenUsed/>
    <w:rsid w:val="00BF70FE"/>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BF70FE"/>
  </w:style>
  <w:style w:type="paragraph" w:styleId="Sprechblasentext">
    <w:name w:val="Balloon Text"/>
    <w:basedOn w:val="Standard"/>
    <w:link w:val="SprechblasentextZeichen"/>
    <w:uiPriority w:val="99"/>
    <w:semiHidden/>
    <w:unhideWhenUsed/>
    <w:rsid w:val="00BF70FE"/>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BF70FE"/>
    <w:rPr>
      <w:rFonts w:ascii="Segoe UI" w:hAnsi="Segoe UI" w:cs="Segoe UI"/>
      <w:sz w:val="18"/>
      <w:szCs w:val="18"/>
    </w:rPr>
  </w:style>
  <w:style w:type="character" w:styleId="GesichteterLink">
    <w:name w:val="FollowedHyperlink"/>
    <w:basedOn w:val="Absatzstandardschriftart"/>
    <w:uiPriority w:val="99"/>
    <w:semiHidden/>
    <w:unhideWhenUsed/>
    <w:rsid w:val="00CD3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2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fieml@vivax-consulting.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2590</Characters>
  <Application>Microsoft Macintosh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Dipl.- Ing. (FH) Dirk Fieml</dc:creator>
  <cp:keywords/>
  <dc:description/>
  <cp:lastModifiedBy>Uwe Pagel</cp:lastModifiedBy>
  <cp:revision>3</cp:revision>
  <cp:lastPrinted>2014-12-03T13:46:00Z</cp:lastPrinted>
  <dcterms:created xsi:type="dcterms:W3CDTF">2014-12-03T07:59:00Z</dcterms:created>
  <dcterms:modified xsi:type="dcterms:W3CDTF">2014-12-03T13:58:00Z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306931540</vt:i4>
  </property>
  <property fmtid="{D5CDD505-2E9C-101B-9397-08002B2CF9AE}" pid="3" name="_NewReviewCycle">
    <vt:lpwstr/>
  </property>
  <property fmtid="{D5CDD505-2E9C-101B-9397-08002B2CF9AE}" pid="4" name="_EmailSubject">
    <vt:lpwstr>Presseinfo STI Energiewirtschaft</vt:lpwstr>
  </property>
  <property fmtid="{D5CDD505-2E9C-101B-9397-08002B2CF9AE}" pid="5" name="_AuthorEmail">
    <vt:lpwstr>d.fieml@vivax-gmbh.net</vt:lpwstr>
  </property>
  <property fmtid="{D5CDD505-2E9C-101B-9397-08002B2CF9AE}" pid="6" name="_AuthorEmailDisplayName">
    <vt:lpwstr>Dirk Fieml</vt:lpwstr>
  </property>
</Properties>
</file>