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4C2DA" w14:textId="77777777" w:rsidR="00DB6E55" w:rsidRPr="00C74717" w:rsidRDefault="00DB6E55" w:rsidP="00DB6E55">
      <w:pPr>
        <w:pStyle w:val="FreeForm"/>
        <w:spacing w:line="288" w:lineRule="auto"/>
        <w:ind w:right="2554"/>
        <w:outlineLvl w:val="0"/>
        <w:rPr>
          <w:rFonts w:ascii="Times" w:hAnsi="Times"/>
          <w:spacing w:val="64"/>
          <w:sz w:val="38"/>
        </w:rPr>
      </w:pPr>
      <w:r w:rsidRPr="00C74717">
        <w:rPr>
          <w:spacing w:val="64"/>
          <w:sz w:val="38"/>
        </w:rPr>
        <w:t>PRESSEINFORMATION</w:t>
      </w:r>
    </w:p>
    <w:p w14:paraId="56241B95" w14:textId="77777777" w:rsidR="00DB6E55" w:rsidRPr="00C74717" w:rsidRDefault="00DB6E55" w:rsidP="00DB6E55">
      <w:pPr>
        <w:pStyle w:val="FreeForm"/>
        <w:spacing w:line="287" w:lineRule="atLeast"/>
        <w:ind w:right="2554"/>
        <w:rPr>
          <w:rFonts w:ascii="Times" w:hAnsi="Times"/>
          <w:sz w:val="22"/>
        </w:rPr>
      </w:pPr>
    </w:p>
    <w:p w14:paraId="4242FCAB" w14:textId="77777777" w:rsidR="00DB6E55" w:rsidRPr="00C74717" w:rsidRDefault="00DB6E55" w:rsidP="00DB6E55">
      <w:pPr>
        <w:pStyle w:val="FreeForm"/>
        <w:spacing w:line="288" w:lineRule="auto"/>
        <w:ind w:right="2554"/>
        <w:rPr>
          <w:sz w:val="22"/>
        </w:rPr>
      </w:pPr>
      <w:r w:rsidRPr="00C74717">
        <w:rPr>
          <w:sz w:val="22"/>
        </w:rPr>
        <w:t xml:space="preserve">Senftenberg, </w:t>
      </w:r>
      <w:r>
        <w:rPr>
          <w:sz w:val="22"/>
        </w:rPr>
        <w:t>3</w:t>
      </w:r>
      <w:r w:rsidRPr="00C74717">
        <w:rPr>
          <w:sz w:val="22"/>
        </w:rPr>
        <w:t xml:space="preserve">. </w:t>
      </w:r>
      <w:r>
        <w:rPr>
          <w:sz w:val="22"/>
        </w:rPr>
        <w:t>September</w:t>
      </w:r>
      <w:r w:rsidRPr="00C74717">
        <w:rPr>
          <w:sz w:val="22"/>
        </w:rPr>
        <w:t xml:space="preserve"> 2014</w:t>
      </w:r>
    </w:p>
    <w:p w14:paraId="1EE40849" w14:textId="77777777" w:rsidR="00DB6E55" w:rsidRPr="00C74717" w:rsidRDefault="00DB6E55" w:rsidP="00DB6E55">
      <w:pPr>
        <w:pStyle w:val="FreeForm"/>
        <w:spacing w:line="288" w:lineRule="auto"/>
        <w:ind w:right="2218"/>
        <w:rPr>
          <w:rFonts w:ascii="Times" w:hAnsi="Times"/>
          <w:sz w:val="22"/>
        </w:rPr>
      </w:pPr>
    </w:p>
    <w:p w14:paraId="2D1E9C08" w14:textId="77777777" w:rsidR="00DB6E55" w:rsidRPr="00C74717" w:rsidRDefault="00DB6E55" w:rsidP="00DB6E55">
      <w:pPr>
        <w:pStyle w:val="FreeForm"/>
        <w:spacing w:line="288" w:lineRule="auto"/>
        <w:rPr>
          <w:rFonts w:ascii="Times" w:hAnsi="Times"/>
          <w:sz w:val="22"/>
        </w:rPr>
      </w:pPr>
    </w:p>
    <w:p w14:paraId="0A54ABA3" w14:textId="77777777" w:rsidR="00DB6E55" w:rsidRDefault="00DB6E55" w:rsidP="00DB6E55">
      <w:pPr>
        <w:pStyle w:val="FreeForm"/>
        <w:spacing w:line="288" w:lineRule="auto"/>
        <w:rPr>
          <w:b/>
          <w:sz w:val="28"/>
        </w:rPr>
      </w:pPr>
      <w:r>
        <w:rPr>
          <w:b/>
          <w:sz w:val="28"/>
        </w:rPr>
        <w:t>Leistungsgemessene Kunden:</w:t>
      </w:r>
      <w:r w:rsidRPr="00C74717">
        <w:rPr>
          <w:b/>
          <w:sz w:val="28"/>
        </w:rPr>
        <w:t xml:space="preserve"> </w:t>
      </w:r>
    </w:p>
    <w:p w14:paraId="6D493FB0" w14:textId="77777777" w:rsidR="00DB6E55" w:rsidRPr="00C74717" w:rsidRDefault="00DB6E55" w:rsidP="00DB6E55">
      <w:pPr>
        <w:pStyle w:val="FreeForm"/>
        <w:spacing w:line="288" w:lineRule="auto"/>
        <w:rPr>
          <w:b/>
          <w:sz w:val="28"/>
        </w:rPr>
      </w:pPr>
      <w:r>
        <w:rPr>
          <w:b/>
          <w:sz w:val="28"/>
        </w:rPr>
        <w:t>70 Prozent der Energierechnungen fehlerhaft</w:t>
      </w:r>
    </w:p>
    <w:p w14:paraId="2E1D3AF9" w14:textId="77777777" w:rsidR="00DB6E55" w:rsidRPr="00C74717" w:rsidRDefault="00DB6E55" w:rsidP="00DB6E55">
      <w:pPr>
        <w:pStyle w:val="FreeForm"/>
        <w:spacing w:line="312" w:lineRule="atLeast"/>
        <w:outlineLvl w:val="0"/>
        <w:rPr>
          <w:b/>
          <w:sz w:val="22"/>
        </w:rPr>
      </w:pPr>
      <w:r>
        <w:rPr>
          <w:b/>
          <w:sz w:val="22"/>
        </w:rPr>
        <w:t>Ein Viertel aller RLM-Rechnungen mit Abweichungen von mehr als 10 Prozent</w:t>
      </w:r>
    </w:p>
    <w:p w14:paraId="326C3BFF" w14:textId="77777777" w:rsidR="00DB6E55" w:rsidRPr="00C74717" w:rsidRDefault="00DB6E55" w:rsidP="00DB6E55">
      <w:pPr>
        <w:pStyle w:val="FreeForm"/>
        <w:spacing w:line="312" w:lineRule="atLeast"/>
        <w:outlineLvl w:val="0"/>
        <w:rPr>
          <w:rFonts w:ascii="Times" w:hAnsi="Times"/>
          <w:b/>
          <w:sz w:val="22"/>
        </w:rPr>
      </w:pPr>
    </w:p>
    <w:p w14:paraId="7F621F8B" w14:textId="77777777" w:rsidR="00DB6E55" w:rsidRDefault="00DB6E55" w:rsidP="00DB6E55">
      <w:pPr>
        <w:pStyle w:val="FreeForm"/>
        <w:tabs>
          <w:tab w:val="left" w:pos="6946"/>
        </w:tabs>
        <w:spacing w:line="360" w:lineRule="auto"/>
        <w:ind w:right="2415"/>
        <w:rPr>
          <w:b/>
          <w:sz w:val="20"/>
        </w:rPr>
      </w:pPr>
      <w:r>
        <w:rPr>
          <w:b/>
          <w:sz w:val="20"/>
        </w:rPr>
        <w:t xml:space="preserve">Nur etwa 30 Prozent aller Energierechnungen von lastganggemessenen Kunden sind korrekt. Das ist das Ergebnis einer Untersuchung von </w:t>
      </w:r>
    </w:p>
    <w:p w14:paraId="00412C58" w14:textId="77777777" w:rsidR="00DB6E55" w:rsidRDefault="00DB6E55" w:rsidP="00DB6E55">
      <w:pPr>
        <w:pStyle w:val="FreeForm"/>
        <w:tabs>
          <w:tab w:val="left" w:pos="6946"/>
        </w:tabs>
        <w:spacing w:line="360" w:lineRule="auto"/>
        <w:ind w:right="2415"/>
        <w:rPr>
          <w:b/>
          <w:sz w:val="20"/>
        </w:rPr>
      </w:pPr>
      <w:r>
        <w:rPr>
          <w:b/>
          <w:sz w:val="20"/>
        </w:rPr>
        <w:t>me</w:t>
      </w:r>
      <w:r>
        <w:rPr>
          <w:b/>
          <w:sz w:val="20"/>
        </w:rPr>
        <w:t>i</w:t>
      </w:r>
      <w:r>
        <w:rPr>
          <w:b/>
          <w:sz w:val="20"/>
        </w:rPr>
        <w:t xml:space="preserve">ne-energie.de, des Spezialisten für Energiemanagement und </w:t>
      </w:r>
    </w:p>
    <w:p w14:paraId="14EE58FC" w14:textId="5F4EE091" w:rsidR="00DB6E55" w:rsidRPr="00C74717" w:rsidRDefault="00DB6E55" w:rsidP="00DB6E55">
      <w:pPr>
        <w:pStyle w:val="FreeForm"/>
        <w:tabs>
          <w:tab w:val="left" w:pos="7230"/>
        </w:tabs>
        <w:spacing w:line="360" w:lineRule="auto"/>
        <w:ind w:right="2130"/>
        <w:rPr>
          <w:b/>
          <w:sz w:val="20"/>
        </w:rPr>
      </w:pPr>
      <w:r>
        <w:rPr>
          <w:b/>
          <w:sz w:val="20"/>
        </w:rPr>
        <w:t>-Controlling. Ausgewertet wurden für diese Analyse rund 15.000 Rechnu</w:t>
      </w:r>
      <w:r>
        <w:rPr>
          <w:b/>
          <w:sz w:val="20"/>
        </w:rPr>
        <w:t>n</w:t>
      </w:r>
      <w:r>
        <w:rPr>
          <w:b/>
          <w:sz w:val="20"/>
        </w:rPr>
        <w:t>gen. Rund ein Viertel aller Rechnungen wies dabei Abweichungen von mehr als 10 Prozent auf, ein Sechstel sogar mehr als 20 Prozent. „Dass vi</w:t>
      </w:r>
      <w:r>
        <w:rPr>
          <w:b/>
          <w:sz w:val="20"/>
        </w:rPr>
        <w:t>e</w:t>
      </w:r>
      <w:r>
        <w:rPr>
          <w:b/>
          <w:sz w:val="20"/>
        </w:rPr>
        <w:t>le der Netznutzungsrechnungen fehlerhaft sind, war uns schon länger b</w:t>
      </w:r>
      <w:r>
        <w:rPr>
          <w:b/>
          <w:sz w:val="20"/>
        </w:rPr>
        <w:t>e</w:t>
      </w:r>
      <w:r>
        <w:rPr>
          <w:b/>
          <w:sz w:val="20"/>
        </w:rPr>
        <w:t>wusst. Denn dies ist die tägliche Erfahrung, die wir bei der Rechnungspr</w:t>
      </w:r>
      <w:r>
        <w:rPr>
          <w:b/>
          <w:sz w:val="20"/>
        </w:rPr>
        <w:t>ü</w:t>
      </w:r>
      <w:r>
        <w:rPr>
          <w:b/>
          <w:sz w:val="20"/>
        </w:rPr>
        <w:t xml:space="preserve">fung für unsere Kunden machen. Doch der große Anteil mit sehr hohen Abweichungen hat uns dann doch überrascht“, fasst Stefan </w:t>
      </w:r>
      <w:proofErr w:type="spellStart"/>
      <w:r>
        <w:rPr>
          <w:b/>
          <w:sz w:val="20"/>
        </w:rPr>
        <w:t>Wietzke</w:t>
      </w:r>
      <w:proofErr w:type="spellEnd"/>
      <w:r>
        <w:rPr>
          <w:b/>
          <w:sz w:val="20"/>
        </w:rPr>
        <w:t>, G</w:t>
      </w:r>
      <w:r>
        <w:rPr>
          <w:b/>
          <w:sz w:val="20"/>
        </w:rPr>
        <w:t>e</w:t>
      </w:r>
      <w:r>
        <w:rPr>
          <w:b/>
          <w:sz w:val="20"/>
        </w:rPr>
        <w:t>schäftsführer der Meine-Energie Technik und Service GmbH, zusammen. Besonders problematisch sei dabei, dass zwei Drittel der A</w:t>
      </w:r>
      <w:r>
        <w:rPr>
          <w:b/>
          <w:sz w:val="20"/>
        </w:rPr>
        <w:t>b</w:t>
      </w:r>
      <w:r>
        <w:rPr>
          <w:b/>
          <w:sz w:val="20"/>
        </w:rPr>
        <w:t>weichungen zu Ungunsten des Kunden gehen. Selbst bei einem ve</w:t>
      </w:r>
      <w:r>
        <w:rPr>
          <w:b/>
          <w:sz w:val="20"/>
        </w:rPr>
        <w:t>r</w:t>
      </w:r>
      <w:r>
        <w:rPr>
          <w:b/>
          <w:sz w:val="20"/>
        </w:rPr>
        <w:t>gleichsweise geringen Energieverbrauch kann sich das bei RLM-Kunden schnell zu fünfstelligen Beträgen summieren. Großen Industrieunternehmen drohen Risiken im sechs- bis siebenstelligen Bereich. „Das Beispiel zeigt deutlich, dass U</w:t>
      </w:r>
      <w:r>
        <w:rPr>
          <w:b/>
          <w:sz w:val="20"/>
        </w:rPr>
        <w:t>n</w:t>
      </w:r>
      <w:r>
        <w:rPr>
          <w:b/>
          <w:sz w:val="20"/>
        </w:rPr>
        <w:t>ternehmen und Institutionen, die Energierechnungen nicht aktiv kontrolli</w:t>
      </w:r>
      <w:r>
        <w:rPr>
          <w:b/>
          <w:sz w:val="20"/>
        </w:rPr>
        <w:t>e</w:t>
      </w:r>
      <w:r>
        <w:rPr>
          <w:b/>
          <w:sz w:val="20"/>
        </w:rPr>
        <w:t>ren, bares Geld verschenken. Aber auch die b</w:t>
      </w:r>
      <w:r>
        <w:rPr>
          <w:b/>
          <w:sz w:val="20"/>
        </w:rPr>
        <w:t>i</w:t>
      </w:r>
      <w:r>
        <w:rPr>
          <w:b/>
          <w:sz w:val="20"/>
        </w:rPr>
        <w:t xml:space="preserve">lanziellen Risiken, die durch nicht vorgenommene Rückstellungen oder Abgrenzungen entstehen, sind nicht zu unterschätzen“, so </w:t>
      </w:r>
      <w:proofErr w:type="spellStart"/>
      <w:r>
        <w:rPr>
          <w:b/>
          <w:sz w:val="20"/>
        </w:rPr>
        <w:t>Wietzke</w:t>
      </w:r>
      <w:proofErr w:type="spellEnd"/>
      <w:r>
        <w:rPr>
          <w:b/>
          <w:sz w:val="20"/>
        </w:rPr>
        <w:t xml:space="preserve"> we</w:t>
      </w:r>
      <w:r>
        <w:rPr>
          <w:b/>
          <w:sz w:val="20"/>
        </w:rPr>
        <w:t>i</w:t>
      </w:r>
      <w:r>
        <w:rPr>
          <w:b/>
          <w:sz w:val="20"/>
        </w:rPr>
        <w:t>ter.</w:t>
      </w:r>
    </w:p>
    <w:p w14:paraId="16D8885A" w14:textId="77777777" w:rsidR="00DB6E55" w:rsidRPr="00C74717" w:rsidRDefault="00DB6E55" w:rsidP="00DB6E55">
      <w:pPr>
        <w:pStyle w:val="FreeForm"/>
        <w:tabs>
          <w:tab w:val="left" w:pos="6946"/>
        </w:tabs>
        <w:spacing w:line="360" w:lineRule="auto"/>
        <w:ind w:right="2415"/>
        <w:rPr>
          <w:b/>
          <w:sz w:val="20"/>
        </w:rPr>
      </w:pPr>
    </w:p>
    <w:p w14:paraId="0BF39F25" w14:textId="77777777" w:rsidR="00DB6E55" w:rsidRPr="00C74717" w:rsidRDefault="00DB6E55" w:rsidP="00DB6E55">
      <w:pPr>
        <w:pStyle w:val="FreeForm"/>
        <w:tabs>
          <w:tab w:val="left" w:pos="7371"/>
        </w:tabs>
        <w:spacing w:line="360" w:lineRule="auto"/>
        <w:ind w:right="1989"/>
        <w:rPr>
          <w:sz w:val="20"/>
        </w:rPr>
      </w:pPr>
      <w:bookmarkStart w:id="0" w:name="_GoBack"/>
      <w:r>
        <w:rPr>
          <w:sz w:val="20"/>
        </w:rPr>
        <w:t>Die Gründe für die hohe Zahl an fehlerhaften Energierechnungen sieht meine-energie.de in erster Linie in den ausgesprochen komplexen Lieferbeziehungen auf dem Energiemarkt, die ebenso komplexe Abrechnungsprozesse nach sich ziehen. Dazu kommen die ständigen Änderungen der gesetzlichen Rahmenb</w:t>
      </w:r>
      <w:r>
        <w:rPr>
          <w:sz w:val="20"/>
        </w:rPr>
        <w:t>e</w:t>
      </w:r>
      <w:r>
        <w:rPr>
          <w:sz w:val="20"/>
        </w:rPr>
        <w:t>dingungen, die ebenfalls Auswirkungen auf die Abrechnungspraxis haben. „Das haben wir z</w:t>
      </w:r>
      <w:r>
        <w:rPr>
          <w:sz w:val="20"/>
        </w:rPr>
        <w:t>u</w:t>
      </w:r>
      <w:r>
        <w:rPr>
          <w:sz w:val="20"/>
        </w:rPr>
        <w:t>letzt wieder nach der EEG-Novelle gemerkt: Komplexe R</w:t>
      </w:r>
      <w:r>
        <w:rPr>
          <w:sz w:val="20"/>
        </w:rPr>
        <w:t>e</w:t>
      </w:r>
      <w:r>
        <w:rPr>
          <w:sz w:val="20"/>
        </w:rPr>
        <w:t xml:space="preserve">gelungen werden durch </w:t>
      </w:r>
      <w:r>
        <w:rPr>
          <w:sz w:val="20"/>
        </w:rPr>
        <w:lastRenderedPageBreak/>
        <w:t>noch Komplexere ersetzt. Nach jeder Gesetzesänderung steigt das Fehlerau</w:t>
      </w:r>
      <w:r>
        <w:rPr>
          <w:sz w:val="20"/>
        </w:rPr>
        <w:t>f</w:t>
      </w:r>
      <w:r>
        <w:rPr>
          <w:sz w:val="20"/>
        </w:rPr>
        <w:t>kommen erneut steil an – auch bei Lieferanten, mit denen wir die Rechnungsste</w:t>
      </w:r>
      <w:r>
        <w:rPr>
          <w:sz w:val="20"/>
        </w:rPr>
        <w:t>l</w:t>
      </w:r>
      <w:r>
        <w:rPr>
          <w:sz w:val="20"/>
        </w:rPr>
        <w:t xml:space="preserve">lung im Dialog gerade gezogen hatten“, beschreibt Stefan </w:t>
      </w:r>
      <w:proofErr w:type="spellStart"/>
      <w:r>
        <w:rPr>
          <w:sz w:val="20"/>
        </w:rPr>
        <w:t>Wiet</w:t>
      </w:r>
      <w:r>
        <w:rPr>
          <w:sz w:val="20"/>
        </w:rPr>
        <w:t>z</w:t>
      </w:r>
      <w:r>
        <w:rPr>
          <w:sz w:val="20"/>
        </w:rPr>
        <w:t>ke</w:t>
      </w:r>
      <w:proofErr w:type="spellEnd"/>
      <w:r>
        <w:rPr>
          <w:sz w:val="20"/>
        </w:rPr>
        <w:t xml:space="preserve"> die gemachten Erfahrungen. „Eine häufige</w:t>
      </w:r>
      <w:r w:rsidRPr="003C626D">
        <w:rPr>
          <w:sz w:val="20"/>
        </w:rPr>
        <w:t xml:space="preserve"> Fehleru</w:t>
      </w:r>
      <w:r>
        <w:rPr>
          <w:sz w:val="20"/>
        </w:rPr>
        <w:t>r</w:t>
      </w:r>
      <w:r w:rsidRPr="003C626D">
        <w:rPr>
          <w:sz w:val="20"/>
        </w:rPr>
        <w:t>sache</w:t>
      </w:r>
      <w:r>
        <w:rPr>
          <w:sz w:val="20"/>
        </w:rPr>
        <w:t xml:space="preserve"> ist auch</w:t>
      </w:r>
      <w:r w:rsidRPr="003C626D">
        <w:rPr>
          <w:sz w:val="20"/>
        </w:rPr>
        <w:t>, dass die Spa</w:t>
      </w:r>
      <w:r w:rsidRPr="003C626D">
        <w:rPr>
          <w:sz w:val="20"/>
        </w:rPr>
        <w:t>n</w:t>
      </w:r>
      <w:r w:rsidRPr="003C626D">
        <w:rPr>
          <w:sz w:val="20"/>
        </w:rPr>
        <w:t xml:space="preserve">nungsebenen </w:t>
      </w:r>
      <w:r>
        <w:rPr>
          <w:sz w:val="20"/>
        </w:rPr>
        <w:t xml:space="preserve">zwischen zwei Lieferanten </w:t>
      </w:r>
      <w:r w:rsidRPr="003C626D">
        <w:rPr>
          <w:sz w:val="20"/>
        </w:rPr>
        <w:t>nicht korrekt übernommen we</w:t>
      </w:r>
      <w:r w:rsidRPr="003C626D">
        <w:rPr>
          <w:sz w:val="20"/>
        </w:rPr>
        <w:t>r</w:t>
      </w:r>
      <w:r w:rsidRPr="003C626D">
        <w:rPr>
          <w:sz w:val="20"/>
        </w:rPr>
        <w:t>den</w:t>
      </w:r>
      <w:r>
        <w:rPr>
          <w:sz w:val="20"/>
        </w:rPr>
        <w:t>.</w:t>
      </w:r>
      <w:r w:rsidRPr="005C706E">
        <w:rPr>
          <w:sz w:val="20"/>
        </w:rPr>
        <w:t xml:space="preserve"> Das summiert sich schnell auf einige Prozent Abweichung vom korrekten Betrag”, e</w:t>
      </w:r>
      <w:r w:rsidRPr="005C706E">
        <w:rPr>
          <w:sz w:val="20"/>
        </w:rPr>
        <w:t>r</w:t>
      </w:r>
      <w:r w:rsidRPr="005C706E">
        <w:rPr>
          <w:sz w:val="20"/>
        </w:rPr>
        <w:t>gänzt Meine-Energie-Geschäftsführer Dirk Heinze.</w:t>
      </w:r>
      <w:r w:rsidRPr="00C74717">
        <w:rPr>
          <w:sz w:val="20"/>
        </w:rPr>
        <w:br/>
      </w:r>
      <w:bookmarkEnd w:id="0"/>
    </w:p>
    <w:p w14:paraId="1C2CF5A2" w14:textId="77777777" w:rsidR="00DB6E55" w:rsidRPr="00C74717" w:rsidRDefault="00DB6E55" w:rsidP="00DB6E55">
      <w:pPr>
        <w:pStyle w:val="FreeForm"/>
        <w:tabs>
          <w:tab w:val="left" w:pos="7371"/>
        </w:tabs>
        <w:spacing w:line="360" w:lineRule="auto"/>
        <w:ind w:right="1989"/>
        <w:rPr>
          <w:sz w:val="20"/>
        </w:rPr>
      </w:pPr>
      <w:r>
        <w:rPr>
          <w:sz w:val="20"/>
        </w:rPr>
        <w:t>Basis für die Analyse waren anonymisierte Rechnungen der leistungsgemess</w:t>
      </w:r>
      <w:r>
        <w:rPr>
          <w:sz w:val="20"/>
        </w:rPr>
        <w:t>e</w:t>
      </w:r>
      <w:r>
        <w:rPr>
          <w:sz w:val="20"/>
        </w:rPr>
        <w:t>nen Kunden von meine-energie.de. Dabei wurden Energierechnungen, bei d</w:t>
      </w:r>
      <w:r>
        <w:rPr>
          <w:sz w:val="20"/>
        </w:rPr>
        <w:t>e</w:t>
      </w:r>
      <w:r>
        <w:rPr>
          <w:sz w:val="20"/>
        </w:rPr>
        <w:t>nen die Abweichungen entweder weniger als 10 Euro oder 0,2 Prozent des Rechnungsb</w:t>
      </w:r>
      <w:r>
        <w:rPr>
          <w:sz w:val="20"/>
        </w:rPr>
        <w:t>e</w:t>
      </w:r>
      <w:r>
        <w:rPr>
          <w:sz w:val="20"/>
        </w:rPr>
        <w:t xml:space="preserve">trages ausmachten, als korrekt eingestuft. </w:t>
      </w:r>
      <w:r w:rsidRPr="00C74717">
        <w:rPr>
          <w:sz w:val="20"/>
        </w:rPr>
        <w:t>Zu den Kunden von meine-energie.de gehören Filialisten wie etwa die Drogeriemarktke</w:t>
      </w:r>
      <w:r>
        <w:rPr>
          <w:sz w:val="20"/>
        </w:rPr>
        <w:t>tte Müller ebenso wie Industrie</w:t>
      </w:r>
      <w:r w:rsidRPr="00C74717">
        <w:rPr>
          <w:sz w:val="20"/>
        </w:rPr>
        <w:t>u</w:t>
      </w:r>
      <w:r w:rsidRPr="00C74717">
        <w:rPr>
          <w:sz w:val="20"/>
        </w:rPr>
        <w:t>n</w:t>
      </w:r>
      <w:r w:rsidRPr="00C74717">
        <w:rPr>
          <w:sz w:val="20"/>
        </w:rPr>
        <w:t>ternehmen, beispielsweise die ZF Friedrichshafen AG. Im Energiem</w:t>
      </w:r>
      <w:r w:rsidRPr="00C74717">
        <w:rPr>
          <w:sz w:val="20"/>
        </w:rPr>
        <w:t>a</w:t>
      </w:r>
      <w:r w:rsidRPr="00C74717">
        <w:rPr>
          <w:sz w:val="20"/>
        </w:rPr>
        <w:t xml:space="preserve">nagement-Portal </w:t>
      </w:r>
      <w:r>
        <w:rPr>
          <w:sz w:val="20"/>
        </w:rPr>
        <w:t xml:space="preserve">meine-energie.de </w:t>
      </w:r>
      <w:r w:rsidRPr="00C74717">
        <w:rPr>
          <w:sz w:val="20"/>
        </w:rPr>
        <w:t>fließen die Verbrauchsinformationen sämtl</w:t>
      </w:r>
      <w:r w:rsidRPr="00C74717">
        <w:rPr>
          <w:sz w:val="20"/>
        </w:rPr>
        <w:t>i</w:t>
      </w:r>
      <w:r w:rsidRPr="00C74717">
        <w:rPr>
          <w:sz w:val="20"/>
        </w:rPr>
        <w:t>cher Standorte automatisiert zusammen, werden übersichtlich im Energiekonto aufbereitet und liefern so die Grundlage für die Optimierung der Beschaffung</w:t>
      </w:r>
      <w:r>
        <w:rPr>
          <w:sz w:val="20"/>
        </w:rPr>
        <w:t xml:space="preserve"> und</w:t>
      </w:r>
      <w:r w:rsidRPr="00C74717">
        <w:rPr>
          <w:sz w:val="20"/>
        </w:rPr>
        <w:t xml:space="preserve"> des Verbrauch</w:t>
      </w:r>
      <w:r w:rsidRPr="00C74717">
        <w:rPr>
          <w:sz w:val="20"/>
        </w:rPr>
        <w:t>s</w:t>
      </w:r>
      <w:r w:rsidRPr="00C74717">
        <w:rPr>
          <w:sz w:val="20"/>
        </w:rPr>
        <w:t xml:space="preserve">verhaltens, </w:t>
      </w:r>
      <w:r>
        <w:rPr>
          <w:sz w:val="20"/>
        </w:rPr>
        <w:t xml:space="preserve">für </w:t>
      </w:r>
      <w:r w:rsidRPr="00C74717">
        <w:rPr>
          <w:sz w:val="20"/>
        </w:rPr>
        <w:t>die automatisierte Prüfung der Energierechnungen sowie für zah</w:t>
      </w:r>
      <w:r w:rsidRPr="00C74717">
        <w:rPr>
          <w:sz w:val="20"/>
        </w:rPr>
        <w:t>l</w:t>
      </w:r>
      <w:r w:rsidRPr="00C74717">
        <w:rPr>
          <w:sz w:val="20"/>
        </w:rPr>
        <w:t>reiche Auswertungen bis hin zum Benchmarking vergleichbarer Standorte.</w:t>
      </w:r>
    </w:p>
    <w:p w14:paraId="0FCEB752" w14:textId="77777777" w:rsidR="00DB6E55" w:rsidRPr="00C74717" w:rsidRDefault="00DB6E55" w:rsidP="00DB6E55">
      <w:pPr>
        <w:pStyle w:val="FreeForm"/>
        <w:spacing w:line="312" w:lineRule="auto"/>
        <w:ind w:right="2272"/>
        <w:rPr>
          <w:sz w:val="20"/>
        </w:rPr>
      </w:pPr>
    </w:p>
    <w:tbl>
      <w:tblPr>
        <w:tblW w:w="0" w:type="auto"/>
        <w:tblInd w:w="50" w:type="dxa"/>
        <w:tblLayout w:type="fixed"/>
        <w:tblLook w:val="0000" w:firstRow="0" w:lastRow="0" w:firstColumn="0" w:lastColumn="0" w:noHBand="0" w:noVBand="0"/>
      </w:tblPr>
      <w:tblGrid>
        <w:gridCol w:w="4518"/>
        <w:gridCol w:w="4480"/>
      </w:tblGrid>
      <w:tr w:rsidR="00DB6E55" w:rsidRPr="00B70927" w14:paraId="08A92AE4" w14:textId="77777777" w:rsidTr="003E3D86">
        <w:trPr>
          <w:cantSplit/>
          <w:trHeight w:val="1320"/>
        </w:trPr>
        <w:tc>
          <w:tcPr>
            <w:tcW w:w="4518" w:type="dxa"/>
            <w:shd w:val="clear" w:color="auto" w:fill="auto"/>
            <w:tcMar>
              <w:top w:w="50" w:type="dxa"/>
              <w:left w:w="50" w:type="dxa"/>
              <w:bottom w:w="50" w:type="dxa"/>
              <w:right w:w="50" w:type="dxa"/>
            </w:tcMar>
          </w:tcPr>
          <w:p w14:paraId="085B7BF1" w14:textId="77777777" w:rsidR="00DB6E55" w:rsidRPr="00C74717" w:rsidRDefault="00DB6E55" w:rsidP="003E3D86">
            <w:pPr>
              <w:pStyle w:val="Body"/>
              <w:spacing w:after="0"/>
              <w:ind w:right="104"/>
              <w:rPr>
                <w:b/>
                <w:i/>
                <w:sz w:val="18"/>
              </w:rPr>
            </w:pPr>
            <w:r w:rsidRPr="00C74717">
              <w:rPr>
                <w:b/>
                <w:i/>
                <w:sz w:val="18"/>
              </w:rPr>
              <w:t>Weitere Informationen:</w:t>
            </w:r>
          </w:p>
          <w:p w14:paraId="38AE740A" w14:textId="77777777" w:rsidR="00DB6E55" w:rsidRPr="00C74717" w:rsidRDefault="00DB6E55" w:rsidP="003E3D86">
            <w:pPr>
              <w:pStyle w:val="Body"/>
              <w:spacing w:after="0"/>
              <w:ind w:right="104"/>
              <w:rPr>
                <w:sz w:val="18"/>
              </w:rPr>
            </w:pPr>
            <w:r w:rsidRPr="00C74717">
              <w:rPr>
                <w:sz w:val="18"/>
              </w:rPr>
              <w:t xml:space="preserve">Meine-Energie GmbH – Stefan </w:t>
            </w:r>
            <w:proofErr w:type="spellStart"/>
            <w:r w:rsidRPr="00C74717">
              <w:rPr>
                <w:sz w:val="18"/>
              </w:rPr>
              <w:t>Wietzke</w:t>
            </w:r>
            <w:proofErr w:type="spellEnd"/>
          </w:p>
          <w:p w14:paraId="17A672E9" w14:textId="77777777" w:rsidR="00DB6E55" w:rsidRPr="00C74717" w:rsidRDefault="00DB6E55" w:rsidP="003E3D86">
            <w:pPr>
              <w:pStyle w:val="Body"/>
              <w:spacing w:after="0"/>
              <w:ind w:right="104"/>
              <w:rPr>
                <w:sz w:val="18"/>
              </w:rPr>
            </w:pPr>
            <w:r w:rsidRPr="00C74717">
              <w:rPr>
                <w:sz w:val="18"/>
              </w:rPr>
              <w:t>Ritterstraße 5 - D-01968 Senftenberg</w:t>
            </w:r>
          </w:p>
          <w:p w14:paraId="67930EDD" w14:textId="77777777" w:rsidR="00DB6E55" w:rsidRPr="00C74717" w:rsidRDefault="00DB6E55" w:rsidP="003E3D86">
            <w:pPr>
              <w:pStyle w:val="Body"/>
              <w:tabs>
                <w:tab w:val="left" w:pos="4111"/>
              </w:tabs>
              <w:spacing w:after="0"/>
              <w:ind w:right="104"/>
              <w:rPr>
                <w:sz w:val="18"/>
              </w:rPr>
            </w:pPr>
            <w:r w:rsidRPr="00C74717">
              <w:rPr>
                <w:sz w:val="18"/>
              </w:rPr>
              <w:t>Tel: +49 3573 36 54 10 - Fax: +49 3573 36 54 199</w:t>
            </w:r>
          </w:p>
          <w:p w14:paraId="0FAE134C" w14:textId="77777777" w:rsidR="00DB6E55" w:rsidRPr="00C74717" w:rsidRDefault="00DB6E55" w:rsidP="003E3D86">
            <w:pPr>
              <w:pStyle w:val="Body"/>
              <w:spacing w:after="0"/>
              <w:ind w:right="104"/>
              <w:rPr>
                <w:sz w:val="18"/>
              </w:rPr>
            </w:pPr>
            <w:r w:rsidRPr="00C74717">
              <w:rPr>
                <w:sz w:val="18"/>
              </w:rPr>
              <w:t xml:space="preserve">info@meine-energie.de - </w:t>
            </w:r>
            <w:hyperlink r:id="rId8" w:history="1">
              <w:r w:rsidRPr="00C74717">
                <w:rPr>
                  <w:rStyle w:val="Link"/>
                  <w:sz w:val="18"/>
                </w:rPr>
                <w:t>www.meine-energie.de</w:t>
              </w:r>
            </w:hyperlink>
          </w:p>
          <w:p w14:paraId="24270A60" w14:textId="77777777" w:rsidR="00DB6E55" w:rsidRPr="00C74717" w:rsidRDefault="00DB6E55" w:rsidP="003E3D86">
            <w:pPr>
              <w:pStyle w:val="Body"/>
              <w:spacing w:after="0"/>
              <w:ind w:right="104"/>
              <w:rPr>
                <w:sz w:val="18"/>
              </w:rPr>
            </w:pPr>
          </w:p>
          <w:p w14:paraId="08C5CE75" w14:textId="77777777" w:rsidR="00DB6E55" w:rsidRPr="00C74717" w:rsidRDefault="00DB6E55" w:rsidP="003E3D86">
            <w:pPr>
              <w:pStyle w:val="Body"/>
              <w:ind w:right="104"/>
              <w:rPr>
                <w:sz w:val="18"/>
              </w:rPr>
            </w:pPr>
          </w:p>
        </w:tc>
        <w:tc>
          <w:tcPr>
            <w:tcW w:w="4480" w:type="dxa"/>
            <w:shd w:val="clear" w:color="auto" w:fill="auto"/>
            <w:tcMar>
              <w:top w:w="50" w:type="dxa"/>
              <w:left w:w="50" w:type="dxa"/>
              <w:bottom w:w="50" w:type="dxa"/>
              <w:right w:w="50" w:type="dxa"/>
            </w:tcMar>
          </w:tcPr>
          <w:p w14:paraId="278E2038" w14:textId="77777777" w:rsidR="00DB6E55" w:rsidRPr="00C74717" w:rsidRDefault="00DB6E55" w:rsidP="003E3D86">
            <w:pPr>
              <w:pStyle w:val="Body"/>
              <w:spacing w:after="0"/>
              <w:rPr>
                <w:b/>
                <w:i/>
                <w:sz w:val="18"/>
              </w:rPr>
            </w:pPr>
            <w:r w:rsidRPr="00C74717">
              <w:rPr>
                <w:b/>
                <w:i/>
                <w:sz w:val="18"/>
              </w:rPr>
              <w:t>Presse- und Öffentlichkeitsarbeit:</w:t>
            </w:r>
          </w:p>
          <w:p w14:paraId="1276C349" w14:textId="77777777" w:rsidR="00DB6E55" w:rsidRPr="00C74717" w:rsidRDefault="00DB6E55" w:rsidP="003E3D86">
            <w:pPr>
              <w:pStyle w:val="Body"/>
              <w:spacing w:after="0"/>
              <w:rPr>
                <w:sz w:val="18"/>
              </w:rPr>
            </w:pPr>
            <w:r w:rsidRPr="00C74717">
              <w:rPr>
                <w:sz w:val="18"/>
              </w:rPr>
              <w:t>Uwe Pagel - Press’n’Relations GmbH</w:t>
            </w:r>
          </w:p>
          <w:p w14:paraId="712E912C" w14:textId="77777777" w:rsidR="00DB6E55" w:rsidRPr="00C74717" w:rsidRDefault="00DB6E55" w:rsidP="003E3D86">
            <w:pPr>
              <w:pStyle w:val="Body"/>
              <w:spacing w:after="0"/>
              <w:rPr>
                <w:sz w:val="18"/>
              </w:rPr>
            </w:pPr>
            <w:r w:rsidRPr="00C74717">
              <w:rPr>
                <w:sz w:val="18"/>
              </w:rPr>
              <w:t>Magirusstr. 33 – D-89077 Ulm</w:t>
            </w:r>
          </w:p>
          <w:p w14:paraId="22843408" w14:textId="77777777" w:rsidR="00DB6E55" w:rsidRPr="00B70927" w:rsidRDefault="00DB6E55" w:rsidP="003E3D86">
            <w:pPr>
              <w:pStyle w:val="Body"/>
              <w:spacing w:after="0"/>
              <w:rPr>
                <w:sz w:val="18"/>
              </w:rPr>
            </w:pPr>
            <w:r w:rsidRPr="00B70927">
              <w:rPr>
                <w:sz w:val="18"/>
              </w:rPr>
              <w:t>Tel.: +49 731 96 287 29 - Fax: +49 731 96 287 97</w:t>
            </w:r>
          </w:p>
          <w:p w14:paraId="44CCD1E0" w14:textId="77777777" w:rsidR="00DB6E55" w:rsidRPr="00B70927" w:rsidRDefault="00DB6E55" w:rsidP="003E3D86">
            <w:pPr>
              <w:pStyle w:val="Body"/>
              <w:spacing w:after="0"/>
              <w:rPr>
                <w:sz w:val="18"/>
              </w:rPr>
            </w:pPr>
            <w:r w:rsidRPr="00B70927">
              <w:rPr>
                <w:sz w:val="18"/>
              </w:rPr>
              <w:t xml:space="preserve">upa@press-n-relations.de </w:t>
            </w:r>
          </w:p>
          <w:p w14:paraId="009C5658" w14:textId="77777777" w:rsidR="00DB6E55" w:rsidRPr="00B70927" w:rsidRDefault="00DB6E55" w:rsidP="003E3D86">
            <w:pPr>
              <w:pStyle w:val="Body"/>
              <w:spacing w:after="0"/>
              <w:rPr>
                <w:sz w:val="18"/>
              </w:rPr>
            </w:pPr>
            <w:r w:rsidRPr="00B70927">
              <w:rPr>
                <w:sz w:val="18"/>
              </w:rPr>
              <w:t>www.press-n-relations.de</w:t>
            </w:r>
          </w:p>
        </w:tc>
      </w:tr>
    </w:tbl>
    <w:p w14:paraId="5CDF13CA" w14:textId="77777777" w:rsidR="00DB6E55" w:rsidRPr="00C74717" w:rsidRDefault="00DB6E55" w:rsidP="00DB6E55">
      <w:pPr>
        <w:pStyle w:val="FreeForm"/>
        <w:ind w:right="355"/>
        <w:rPr>
          <w:rStyle w:val="section"/>
          <w:sz w:val="18"/>
        </w:rPr>
      </w:pPr>
      <w:r w:rsidRPr="00C74717">
        <w:rPr>
          <w:rStyle w:val="section"/>
          <w:sz w:val="18"/>
        </w:rPr>
        <w:t>Unter dem Motto „Energie ist einfach“ bietet die Meine-Energie GmbH</w:t>
      </w:r>
      <w:r w:rsidRPr="00C74717">
        <w:rPr>
          <w:rStyle w:val="section"/>
          <w:sz w:val="22"/>
        </w:rPr>
        <w:t xml:space="preserve"> </w:t>
      </w:r>
      <w:r w:rsidRPr="00C74717">
        <w:rPr>
          <w:rStyle w:val="section"/>
          <w:sz w:val="18"/>
        </w:rPr>
        <w:t>ein Energiemanagementportal, das Unte</w:t>
      </w:r>
      <w:r w:rsidRPr="00C74717">
        <w:rPr>
          <w:rStyle w:val="section"/>
          <w:sz w:val="18"/>
        </w:rPr>
        <w:t>r</w:t>
      </w:r>
      <w:r w:rsidRPr="00C74717">
        <w:rPr>
          <w:rStyle w:val="section"/>
          <w:sz w:val="18"/>
        </w:rPr>
        <w:t>nehmen ab einem Stromverbrauch von 100.000 Kilowattstunden bis 10 Gigawattstunden pro Standort und Jahr und darüber hinaus bei der Beschaffung von elektrischer Energie, der Optimierung des Verbrauchsverhaltens und der Rechnungsprüfung aktiv unterstützt. Zu den Kunden gehören Einzelhandelsketten wie die Müller Drog</w:t>
      </w:r>
      <w:r w:rsidRPr="00C74717">
        <w:rPr>
          <w:rStyle w:val="section"/>
          <w:sz w:val="18"/>
        </w:rPr>
        <w:t>e</w:t>
      </w:r>
      <w:r w:rsidRPr="00C74717">
        <w:rPr>
          <w:rStyle w:val="section"/>
          <w:sz w:val="18"/>
        </w:rPr>
        <w:t>riemärkte ebenso wie Industrieunternehmen, etwa die ZF Friedrichshafen AG, oder Klin</w:t>
      </w:r>
      <w:r>
        <w:rPr>
          <w:rStyle w:val="section"/>
          <w:sz w:val="18"/>
        </w:rPr>
        <w:t>i</w:t>
      </w:r>
      <w:r w:rsidRPr="00C74717">
        <w:rPr>
          <w:rStyle w:val="section"/>
          <w:sz w:val="18"/>
        </w:rPr>
        <w:t>ken und große landwir</w:t>
      </w:r>
      <w:r w:rsidRPr="00C74717">
        <w:rPr>
          <w:rStyle w:val="section"/>
          <w:sz w:val="18"/>
        </w:rPr>
        <w:t>t</w:t>
      </w:r>
      <w:r w:rsidRPr="00C74717">
        <w:rPr>
          <w:rStyle w:val="section"/>
          <w:sz w:val="18"/>
        </w:rPr>
        <w:t>schaftliche Betriebe. Über das Internetportal lassen sich die energiewirtschaftlichen Prozesse eines Unterne</w:t>
      </w:r>
      <w:r w:rsidRPr="00C74717">
        <w:rPr>
          <w:rStyle w:val="section"/>
          <w:sz w:val="18"/>
        </w:rPr>
        <w:t>h</w:t>
      </w:r>
      <w:r w:rsidRPr="00C74717">
        <w:rPr>
          <w:rStyle w:val="section"/>
          <w:sz w:val="18"/>
        </w:rPr>
        <w:t>mens planen, erfassen und auswerten. Diese Prozesse beginnen bei der Verwaltung von Lieferstellen, der Ve</w:t>
      </w:r>
      <w:r w:rsidRPr="00C74717">
        <w:rPr>
          <w:rStyle w:val="section"/>
          <w:sz w:val="18"/>
        </w:rPr>
        <w:t>r</w:t>
      </w:r>
      <w:r w:rsidRPr="00C74717">
        <w:rPr>
          <w:rStyle w:val="section"/>
          <w:sz w:val="18"/>
        </w:rPr>
        <w:t>brauchsdatenverwaltung, einer effektiven Strombeschaffung und enden letztlich bei einem bedarfsgerechten Energiecontrolling und der elektronischen Prüfung der Netznutzungsrechnungen. Darüber hinaus dient das Po</w:t>
      </w:r>
      <w:r w:rsidRPr="00C74717">
        <w:rPr>
          <w:rStyle w:val="section"/>
          <w:sz w:val="18"/>
        </w:rPr>
        <w:t>r</w:t>
      </w:r>
      <w:r w:rsidRPr="00C74717">
        <w:rPr>
          <w:rStyle w:val="section"/>
          <w:sz w:val="18"/>
        </w:rPr>
        <w:t>tal Energieberatern und -lieferanten als Informationswerkzeug über ihre Kunden. Alle relevanten Daten über die energetische Verbrauchssituation können über das Portal erfasst werden und sind jederzeit webbasiert zugän</w:t>
      </w:r>
      <w:r w:rsidRPr="00C74717">
        <w:rPr>
          <w:rStyle w:val="section"/>
          <w:sz w:val="18"/>
        </w:rPr>
        <w:t>g</w:t>
      </w:r>
      <w:r w:rsidRPr="00C74717">
        <w:rPr>
          <w:rStyle w:val="section"/>
          <w:sz w:val="18"/>
        </w:rPr>
        <w:t>lich. </w:t>
      </w:r>
    </w:p>
    <w:p w14:paraId="7507231B" w14:textId="77777777" w:rsidR="00DB6E55" w:rsidRPr="00C74717" w:rsidRDefault="00DB6E55" w:rsidP="00DB6E55">
      <w:pPr>
        <w:pStyle w:val="FreeForm"/>
        <w:ind w:right="355"/>
        <w:rPr>
          <w:rStyle w:val="section"/>
          <w:sz w:val="18"/>
        </w:rPr>
      </w:pPr>
    </w:p>
    <w:p w14:paraId="2DDAA890" w14:textId="77777777" w:rsidR="00DB6E55" w:rsidRPr="00C74717" w:rsidRDefault="00DB6E55" w:rsidP="00DB6E55">
      <w:pPr>
        <w:pStyle w:val="FreeForm"/>
        <w:ind w:right="355"/>
        <w:rPr>
          <w:sz w:val="18"/>
        </w:rPr>
      </w:pPr>
      <w:r w:rsidRPr="00C74717">
        <w:rPr>
          <w:rStyle w:val="section"/>
          <w:sz w:val="18"/>
        </w:rPr>
        <w:t>Gefördert durch:</w:t>
      </w:r>
    </w:p>
    <w:p w14:paraId="38816990" w14:textId="77777777" w:rsidR="00DB6E55" w:rsidRPr="00C74717" w:rsidRDefault="00DB6E55" w:rsidP="00DB6E55">
      <w:pPr>
        <w:pStyle w:val="FreeForm"/>
        <w:ind w:right="355"/>
        <w:rPr>
          <w:sz w:val="18"/>
        </w:rPr>
      </w:pPr>
    </w:p>
    <w:p w14:paraId="57BB9D91" w14:textId="77777777" w:rsidR="00DB6E55" w:rsidRPr="00C74717" w:rsidRDefault="00DB6E55" w:rsidP="00DB6E55">
      <w:pPr>
        <w:pStyle w:val="FreeForm"/>
        <w:ind w:right="355"/>
        <w:rPr>
          <w:sz w:val="18"/>
        </w:rPr>
      </w:pPr>
      <w:r w:rsidRPr="00C74717">
        <w:rPr>
          <w:rFonts w:cs="Helvetica"/>
          <w:noProof/>
        </w:rPr>
        <w:drawing>
          <wp:inline distT="0" distB="0" distL="0" distR="0" wp14:anchorId="53989EDD" wp14:editId="2113604D">
            <wp:extent cx="1199693" cy="514414"/>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774" cy="514878"/>
                    </a:xfrm>
                    <a:prstGeom prst="rect">
                      <a:avLst/>
                    </a:prstGeom>
                    <a:noFill/>
                    <a:ln>
                      <a:noFill/>
                    </a:ln>
                  </pic:spPr>
                </pic:pic>
              </a:graphicData>
            </a:graphic>
          </wp:inline>
        </w:drawing>
      </w:r>
    </w:p>
    <w:p w14:paraId="620B08A6" w14:textId="1143C04B" w:rsidR="00C919A7" w:rsidRPr="00DB6E55" w:rsidRDefault="00C919A7" w:rsidP="00DB6E55"/>
    <w:sectPr w:rsidR="00C919A7" w:rsidRPr="00DB6E55" w:rsidSect="000A5A8B">
      <w:headerReference w:type="default" r:id="rId10"/>
      <w:pgSz w:w="12240" w:h="15840"/>
      <w:pgMar w:top="1440" w:right="1440" w:bottom="1276"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08212" w14:textId="77777777" w:rsidR="006D7805" w:rsidRDefault="006D7805">
      <w:r>
        <w:separator/>
      </w:r>
    </w:p>
  </w:endnote>
  <w:endnote w:type="continuationSeparator" w:id="0">
    <w:p w14:paraId="2BE46D1F" w14:textId="77777777" w:rsidR="006D7805" w:rsidRDefault="006D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Helvetica Neue">
    <w:altName w:val="Malgun Gothic"/>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00000003" w:usb1="00000000" w:usb2="00000000" w:usb3="00000000" w:csb0="00000001" w:csb1="00000000"/>
  </w:font>
  <w:font w:name="ヒラギノ角ゴ Pro W3">
    <w:altName w:val="MS PMincho"/>
    <w:panose1 w:val="00000000000000000000"/>
    <w:charset w:val="80"/>
    <w:family w:val="roman"/>
    <w:notTrueType/>
    <w:pitch w:val="default"/>
  </w:font>
  <w:font w:name="Lucida Grande">
    <w:altName w:val="Times New Roman"/>
    <w:panose1 w:val="020B0600040502020204"/>
    <w:charset w:val="00"/>
    <w:family w:val="roman"/>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3C69E" w14:textId="77777777" w:rsidR="006D7805" w:rsidRDefault="006D7805">
      <w:r>
        <w:separator/>
      </w:r>
    </w:p>
  </w:footnote>
  <w:footnote w:type="continuationSeparator" w:id="0">
    <w:p w14:paraId="6968E9E6" w14:textId="77777777" w:rsidR="006D7805" w:rsidRDefault="006D78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A2AB8" w14:textId="77777777" w:rsidR="006D7805" w:rsidRDefault="006D7805" w:rsidP="000B4101">
    <w:pPr>
      <w:pStyle w:val="FreeForm"/>
      <w:ind w:right="-846"/>
      <w:jc w:val="right"/>
      <w:rPr>
        <w:rFonts w:ascii="Times New Roman" w:eastAsia="Times New Roman" w:hAnsi="Times New Roman"/>
        <w:color w:val="auto"/>
        <w:sz w:val="20"/>
        <w:lang w:bidi="x-none"/>
      </w:rPr>
    </w:pPr>
    <w:r>
      <w:rPr>
        <w:noProof/>
      </w:rPr>
      <w:drawing>
        <wp:inline distT="0" distB="0" distL="0" distR="0" wp14:anchorId="7DE4EC56" wp14:editId="524BA9C9">
          <wp:extent cx="2019300" cy="438785"/>
          <wp:effectExtent l="0" t="0" r="12700" b="0"/>
          <wp:docPr id="1" name="Bild 1" descr="Beschreibu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38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embedSystemFonts/>
  <w:bordersDoNotSurroundHeader/>
  <w:bordersDoNotSurroundFooter/>
  <w:activeWritingStyle w:appName="MSWord" w:lang="en-US" w:vendorID="64" w:dllVersion="131078" w:nlCheck="1" w:checkStyle="1"/>
  <w:activeWritingStyle w:appName="MSWord" w:lang="de-DE" w:vendorID="64" w:dllVersion="131078" w:nlCheck="1" w:checkStyle="1"/>
  <w:activeWritingStyle w:appName="MSWord" w:lang="de-DE" w:vendorID="2" w:dllVersion="6" w:checkStyle="1"/>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autoHyphenation/>
  <w:hyphenationZone w:val="357"/>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66"/>
    <w:rsid w:val="000638AD"/>
    <w:rsid w:val="00090620"/>
    <w:rsid w:val="00094E2D"/>
    <w:rsid w:val="000976F3"/>
    <w:rsid w:val="000A2A99"/>
    <w:rsid w:val="000A5A8B"/>
    <w:rsid w:val="000B4101"/>
    <w:rsid w:val="000C0AA3"/>
    <w:rsid w:val="000C20B7"/>
    <w:rsid w:val="000E05C2"/>
    <w:rsid w:val="000F133A"/>
    <w:rsid w:val="00103538"/>
    <w:rsid w:val="00116227"/>
    <w:rsid w:val="0011793B"/>
    <w:rsid w:val="001234E6"/>
    <w:rsid w:val="001238B9"/>
    <w:rsid w:val="001325F0"/>
    <w:rsid w:val="0013660B"/>
    <w:rsid w:val="00147096"/>
    <w:rsid w:val="00150FBE"/>
    <w:rsid w:val="001622C9"/>
    <w:rsid w:val="00165DC4"/>
    <w:rsid w:val="00176158"/>
    <w:rsid w:val="00184F9E"/>
    <w:rsid w:val="00185C28"/>
    <w:rsid w:val="001866D4"/>
    <w:rsid w:val="001A24ED"/>
    <w:rsid w:val="001B73B2"/>
    <w:rsid w:val="001D32EF"/>
    <w:rsid w:val="002218D4"/>
    <w:rsid w:val="00225892"/>
    <w:rsid w:val="0023433D"/>
    <w:rsid w:val="00243298"/>
    <w:rsid w:val="00250AE0"/>
    <w:rsid w:val="00260AE0"/>
    <w:rsid w:val="002A5417"/>
    <w:rsid w:val="002B778F"/>
    <w:rsid w:val="002D1C63"/>
    <w:rsid w:val="0030122E"/>
    <w:rsid w:val="00302091"/>
    <w:rsid w:val="003078C0"/>
    <w:rsid w:val="00310B8E"/>
    <w:rsid w:val="00322481"/>
    <w:rsid w:val="00330CE1"/>
    <w:rsid w:val="003632E3"/>
    <w:rsid w:val="003757F1"/>
    <w:rsid w:val="00377CBB"/>
    <w:rsid w:val="0038501D"/>
    <w:rsid w:val="003A057E"/>
    <w:rsid w:val="003A3942"/>
    <w:rsid w:val="003A4FF8"/>
    <w:rsid w:val="003C626D"/>
    <w:rsid w:val="00400EF1"/>
    <w:rsid w:val="00415AD7"/>
    <w:rsid w:val="00430191"/>
    <w:rsid w:val="00435423"/>
    <w:rsid w:val="004651C5"/>
    <w:rsid w:val="004A1676"/>
    <w:rsid w:val="004C2CEF"/>
    <w:rsid w:val="004C3735"/>
    <w:rsid w:val="004F4605"/>
    <w:rsid w:val="004F7D93"/>
    <w:rsid w:val="00506057"/>
    <w:rsid w:val="00507080"/>
    <w:rsid w:val="00520E55"/>
    <w:rsid w:val="0053221F"/>
    <w:rsid w:val="00537A73"/>
    <w:rsid w:val="0054519E"/>
    <w:rsid w:val="00574D57"/>
    <w:rsid w:val="005812B6"/>
    <w:rsid w:val="005B2F64"/>
    <w:rsid w:val="005B3660"/>
    <w:rsid w:val="005B5BE0"/>
    <w:rsid w:val="005C38CC"/>
    <w:rsid w:val="005D2331"/>
    <w:rsid w:val="00617FEC"/>
    <w:rsid w:val="0063264B"/>
    <w:rsid w:val="00675DF8"/>
    <w:rsid w:val="00683D08"/>
    <w:rsid w:val="00683D0B"/>
    <w:rsid w:val="006B4936"/>
    <w:rsid w:val="006C298E"/>
    <w:rsid w:val="006D7805"/>
    <w:rsid w:val="006F7486"/>
    <w:rsid w:val="00701AED"/>
    <w:rsid w:val="00714DDA"/>
    <w:rsid w:val="0072678B"/>
    <w:rsid w:val="007408B0"/>
    <w:rsid w:val="0074769A"/>
    <w:rsid w:val="00750F3C"/>
    <w:rsid w:val="007518A4"/>
    <w:rsid w:val="007534CF"/>
    <w:rsid w:val="007566E5"/>
    <w:rsid w:val="00763516"/>
    <w:rsid w:val="0078336B"/>
    <w:rsid w:val="007B124A"/>
    <w:rsid w:val="007D2CBA"/>
    <w:rsid w:val="007D52CB"/>
    <w:rsid w:val="007D59B9"/>
    <w:rsid w:val="007D7484"/>
    <w:rsid w:val="007E4395"/>
    <w:rsid w:val="0080359E"/>
    <w:rsid w:val="00803681"/>
    <w:rsid w:val="00815882"/>
    <w:rsid w:val="00842C23"/>
    <w:rsid w:val="00865409"/>
    <w:rsid w:val="00866736"/>
    <w:rsid w:val="008877A9"/>
    <w:rsid w:val="00894FEA"/>
    <w:rsid w:val="008C39B0"/>
    <w:rsid w:val="008D4C01"/>
    <w:rsid w:val="008E4337"/>
    <w:rsid w:val="008F4B49"/>
    <w:rsid w:val="00915212"/>
    <w:rsid w:val="0092189C"/>
    <w:rsid w:val="00930F48"/>
    <w:rsid w:val="00945CC5"/>
    <w:rsid w:val="00953117"/>
    <w:rsid w:val="0095578F"/>
    <w:rsid w:val="00965128"/>
    <w:rsid w:val="00972BBD"/>
    <w:rsid w:val="00997CB2"/>
    <w:rsid w:val="009A313C"/>
    <w:rsid w:val="009A4986"/>
    <w:rsid w:val="009B049D"/>
    <w:rsid w:val="009B25DD"/>
    <w:rsid w:val="009F5494"/>
    <w:rsid w:val="00A21185"/>
    <w:rsid w:val="00A35BAB"/>
    <w:rsid w:val="00A423E7"/>
    <w:rsid w:val="00A46FA7"/>
    <w:rsid w:val="00A561D3"/>
    <w:rsid w:val="00A76EAF"/>
    <w:rsid w:val="00A8185A"/>
    <w:rsid w:val="00A96B1E"/>
    <w:rsid w:val="00A97985"/>
    <w:rsid w:val="00AB023D"/>
    <w:rsid w:val="00AB1279"/>
    <w:rsid w:val="00AB544E"/>
    <w:rsid w:val="00AC087A"/>
    <w:rsid w:val="00AE1766"/>
    <w:rsid w:val="00AE7815"/>
    <w:rsid w:val="00B07989"/>
    <w:rsid w:val="00B11FAB"/>
    <w:rsid w:val="00B27696"/>
    <w:rsid w:val="00B41CAF"/>
    <w:rsid w:val="00B442C3"/>
    <w:rsid w:val="00B53181"/>
    <w:rsid w:val="00B82448"/>
    <w:rsid w:val="00B91BA2"/>
    <w:rsid w:val="00BA6706"/>
    <w:rsid w:val="00BB622F"/>
    <w:rsid w:val="00BD405C"/>
    <w:rsid w:val="00BE01B7"/>
    <w:rsid w:val="00BE4AD0"/>
    <w:rsid w:val="00BF67D1"/>
    <w:rsid w:val="00C03CC2"/>
    <w:rsid w:val="00C06BD0"/>
    <w:rsid w:val="00C14F2A"/>
    <w:rsid w:val="00C23C7C"/>
    <w:rsid w:val="00C24EC4"/>
    <w:rsid w:val="00C26996"/>
    <w:rsid w:val="00C41F51"/>
    <w:rsid w:val="00C74717"/>
    <w:rsid w:val="00C82E83"/>
    <w:rsid w:val="00C844BD"/>
    <w:rsid w:val="00C85D9B"/>
    <w:rsid w:val="00C903F6"/>
    <w:rsid w:val="00C919A7"/>
    <w:rsid w:val="00C95C0D"/>
    <w:rsid w:val="00CA73D1"/>
    <w:rsid w:val="00CC212F"/>
    <w:rsid w:val="00CE08DA"/>
    <w:rsid w:val="00CF42C9"/>
    <w:rsid w:val="00D16602"/>
    <w:rsid w:val="00D61361"/>
    <w:rsid w:val="00D969AB"/>
    <w:rsid w:val="00DA6A5B"/>
    <w:rsid w:val="00DB46F7"/>
    <w:rsid w:val="00DB6E55"/>
    <w:rsid w:val="00DC431A"/>
    <w:rsid w:val="00DC75E4"/>
    <w:rsid w:val="00DD0EEE"/>
    <w:rsid w:val="00DD3F7A"/>
    <w:rsid w:val="00DE2BF0"/>
    <w:rsid w:val="00DE63DC"/>
    <w:rsid w:val="00E05CEF"/>
    <w:rsid w:val="00E271C5"/>
    <w:rsid w:val="00E41D59"/>
    <w:rsid w:val="00E676C4"/>
    <w:rsid w:val="00E72F37"/>
    <w:rsid w:val="00E8031B"/>
    <w:rsid w:val="00E81600"/>
    <w:rsid w:val="00E833F8"/>
    <w:rsid w:val="00E87F87"/>
    <w:rsid w:val="00EC2D41"/>
    <w:rsid w:val="00EC439A"/>
    <w:rsid w:val="00ED71C5"/>
    <w:rsid w:val="00EF24CE"/>
    <w:rsid w:val="00EF2F5A"/>
    <w:rsid w:val="00EF51A6"/>
    <w:rsid w:val="00EF76A4"/>
    <w:rsid w:val="00F00217"/>
    <w:rsid w:val="00F077CB"/>
    <w:rsid w:val="00F16E23"/>
    <w:rsid w:val="00F351E6"/>
    <w:rsid w:val="00F44A9A"/>
    <w:rsid w:val="00F51A70"/>
    <w:rsid w:val="00F568B7"/>
    <w:rsid w:val="00F60C59"/>
    <w:rsid w:val="00F71768"/>
    <w:rsid w:val="00FC1A0D"/>
    <w:rsid w:val="00FC55A0"/>
    <w:rsid w:val="00FD3229"/>
    <w:rsid w:val="00FD3DD2"/>
    <w:rsid w:val="00FF1567"/>
    <w:rsid w:val="00FF2E31"/>
    <w:rsid w:val="00FF3FF2"/>
    <w:rsid w:val="00FF4562"/>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69F1DC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276"/>
  <w:style w:type="paragraph" w:default="1" w:styleId="Standard">
    <w:name w:val="Normal"/>
    <w:qFormat/>
    <w:rsid w:val="00A8185A"/>
    <w:rPr>
      <w:rFonts w:ascii="Helvetica Neue" w:hAnsi="Helvetica Neue"/>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rPr>
  </w:style>
  <w:style w:type="paragraph" w:customStyle="1" w:styleId="Body">
    <w:name w:val="Body"/>
    <w:pPr>
      <w:spacing w:after="240"/>
    </w:pPr>
    <w:rPr>
      <w:rFonts w:ascii="Helvetica" w:eastAsia="ヒラギノ角ゴ Pro W3" w:hAnsi="Helvetica"/>
      <w:color w:val="000000"/>
    </w:rPr>
  </w:style>
  <w:style w:type="paragraph" w:styleId="Kopfzeile">
    <w:name w:val="header"/>
    <w:basedOn w:val="Standard"/>
    <w:link w:val="KopfzeileZeichen"/>
    <w:rsid w:val="00F039C3"/>
    <w:pPr>
      <w:tabs>
        <w:tab w:val="center" w:pos="4536"/>
        <w:tab w:val="right" w:pos="9072"/>
      </w:tabs>
    </w:pPr>
  </w:style>
  <w:style w:type="character" w:customStyle="1" w:styleId="KopfzeileZeichen">
    <w:name w:val="Kopfzeile Zeichen"/>
    <w:link w:val="Kopfzeile"/>
    <w:rsid w:val="00F039C3"/>
    <w:rPr>
      <w:sz w:val="24"/>
      <w:szCs w:val="24"/>
      <w:lang w:val="en-US" w:eastAsia="en-US"/>
    </w:rPr>
  </w:style>
  <w:style w:type="paragraph" w:styleId="Fuzeile">
    <w:name w:val="footer"/>
    <w:basedOn w:val="Standard"/>
    <w:link w:val="FuzeileZeichen"/>
    <w:rsid w:val="00F039C3"/>
    <w:pPr>
      <w:tabs>
        <w:tab w:val="center" w:pos="4536"/>
        <w:tab w:val="right" w:pos="9072"/>
      </w:tabs>
    </w:pPr>
  </w:style>
  <w:style w:type="character" w:customStyle="1" w:styleId="FuzeileZeichen">
    <w:name w:val="Fußzeile Zeiche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eichen"/>
    <w:rsid w:val="004C2CEF"/>
    <w:rPr>
      <w:rFonts w:ascii="Lucida Grande" w:hAnsi="Lucida Grande"/>
      <w:sz w:val="18"/>
      <w:szCs w:val="18"/>
    </w:rPr>
  </w:style>
  <w:style w:type="character" w:customStyle="1" w:styleId="SprechblasentextZeichen">
    <w:name w:val="Sprechblasentext Zeichen"/>
    <w:link w:val="Sprechblasentext"/>
    <w:rsid w:val="004C2CEF"/>
    <w:rPr>
      <w:rFonts w:ascii="Lucida Grande" w:hAnsi="Lucida Grande"/>
      <w:sz w:val="18"/>
      <w:szCs w:val="18"/>
      <w:lang w:val="en-US" w:eastAsia="en-US"/>
    </w:rPr>
  </w:style>
  <w:style w:type="character" w:styleId="Kommentarzeichen">
    <w:name w:val="annotation reference"/>
    <w:rsid w:val="00A46FA7"/>
    <w:rPr>
      <w:sz w:val="18"/>
      <w:szCs w:val="18"/>
    </w:rPr>
  </w:style>
  <w:style w:type="paragraph" w:styleId="Kommentartext">
    <w:name w:val="annotation text"/>
    <w:basedOn w:val="Standard"/>
    <w:link w:val="KommentartextZeichen"/>
    <w:rsid w:val="00A46FA7"/>
  </w:style>
  <w:style w:type="character" w:customStyle="1" w:styleId="KommentartextZeichen">
    <w:name w:val="Kommentartext Zeichen"/>
    <w:link w:val="Kommentartext"/>
    <w:rsid w:val="00A46FA7"/>
    <w:rPr>
      <w:rFonts w:ascii="Helvetica Neue" w:hAnsi="Helvetica Neue"/>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276"/>
  <w:style w:type="paragraph" w:default="1" w:styleId="Standard">
    <w:name w:val="Normal"/>
    <w:qFormat/>
    <w:rsid w:val="00A8185A"/>
    <w:rPr>
      <w:rFonts w:ascii="Helvetica Neue" w:hAnsi="Helvetica Neue"/>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rPr>
  </w:style>
  <w:style w:type="paragraph" w:customStyle="1" w:styleId="Body">
    <w:name w:val="Body"/>
    <w:pPr>
      <w:spacing w:after="240"/>
    </w:pPr>
    <w:rPr>
      <w:rFonts w:ascii="Helvetica" w:eastAsia="ヒラギノ角ゴ Pro W3" w:hAnsi="Helvetica"/>
      <w:color w:val="000000"/>
    </w:rPr>
  </w:style>
  <w:style w:type="paragraph" w:styleId="Kopfzeile">
    <w:name w:val="header"/>
    <w:basedOn w:val="Standard"/>
    <w:link w:val="KopfzeileZeichen"/>
    <w:rsid w:val="00F039C3"/>
    <w:pPr>
      <w:tabs>
        <w:tab w:val="center" w:pos="4536"/>
        <w:tab w:val="right" w:pos="9072"/>
      </w:tabs>
    </w:pPr>
  </w:style>
  <w:style w:type="character" w:customStyle="1" w:styleId="KopfzeileZeichen">
    <w:name w:val="Kopfzeile Zeichen"/>
    <w:link w:val="Kopfzeile"/>
    <w:rsid w:val="00F039C3"/>
    <w:rPr>
      <w:sz w:val="24"/>
      <w:szCs w:val="24"/>
      <w:lang w:val="en-US" w:eastAsia="en-US"/>
    </w:rPr>
  </w:style>
  <w:style w:type="paragraph" w:styleId="Fuzeile">
    <w:name w:val="footer"/>
    <w:basedOn w:val="Standard"/>
    <w:link w:val="FuzeileZeichen"/>
    <w:rsid w:val="00F039C3"/>
    <w:pPr>
      <w:tabs>
        <w:tab w:val="center" w:pos="4536"/>
        <w:tab w:val="right" w:pos="9072"/>
      </w:tabs>
    </w:pPr>
  </w:style>
  <w:style w:type="character" w:customStyle="1" w:styleId="FuzeileZeichen">
    <w:name w:val="Fußzeile Zeiche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eichen"/>
    <w:rsid w:val="004C2CEF"/>
    <w:rPr>
      <w:rFonts w:ascii="Lucida Grande" w:hAnsi="Lucida Grande"/>
      <w:sz w:val="18"/>
      <w:szCs w:val="18"/>
    </w:rPr>
  </w:style>
  <w:style w:type="character" w:customStyle="1" w:styleId="SprechblasentextZeichen">
    <w:name w:val="Sprechblasentext Zeichen"/>
    <w:link w:val="Sprechblasentext"/>
    <w:rsid w:val="004C2CEF"/>
    <w:rPr>
      <w:rFonts w:ascii="Lucida Grande" w:hAnsi="Lucida Grande"/>
      <w:sz w:val="18"/>
      <w:szCs w:val="18"/>
      <w:lang w:val="en-US" w:eastAsia="en-US"/>
    </w:rPr>
  </w:style>
  <w:style w:type="character" w:styleId="Kommentarzeichen">
    <w:name w:val="annotation reference"/>
    <w:rsid w:val="00A46FA7"/>
    <w:rPr>
      <w:sz w:val="18"/>
      <w:szCs w:val="18"/>
    </w:rPr>
  </w:style>
  <w:style w:type="paragraph" w:styleId="Kommentartext">
    <w:name w:val="annotation text"/>
    <w:basedOn w:val="Standard"/>
    <w:link w:val="KommentartextZeichen"/>
    <w:rsid w:val="00A46FA7"/>
  </w:style>
  <w:style w:type="character" w:customStyle="1" w:styleId="KommentartextZeichen">
    <w:name w:val="Kommentartext Zeichen"/>
    <w:link w:val="Kommentartext"/>
    <w:rsid w:val="00A46FA7"/>
    <w:rPr>
      <w:rFonts w:ascii="Helvetica Neue" w:hAnsi="Helvetica Neue"/>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eine-energie.de" TargetMode="External"/><Relationship Id="rId9" Type="http://schemas.openxmlformats.org/officeDocument/2006/relationships/image" Target="media/image1.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B008B-D7ED-584C-A2CA-392A0501E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4320</Characters>
  <Application>Microsoft Macintosh Word</Application>
  <DocSecurity>0</DocSecurity>
  <Lines>36</Lines>
  <Paragraphs>9</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vt:lpstr>
      <vt:lpstr>Hohe Datenqualität und -aktualität unverzichtbar für effizientes Energiemanageme</vt:lpstr>
      <vt:lpstr/>
    </vt:vector>
  </TitlesOfParts>
  <Manager/>
  <Company>PnR</Company>
  <LinksUpToDate>false</LinksUpToDate>
  <CharactersWithSpaces>4996</CharactersWithSpaces>
  <SharedDoc>false</SharedDoc>
  <HyperlinkBase/>
  <HLinks>
    <vt:vector size="6" baseType="variant">
      <vt:variant>
        <vt:i4>2883656</vt:i4>
      </vt:variant>
      <vt:variant>
        <vt:i4>0</vt:i4>
      </vt:variant>
      <vt:variant>
        <vt:i4>0</vt:i4>
      </vt:variant>
      <vt:variant>
        <vt:i4>5</vt:i4>
      </vt:variant>
      <vt:variant>
        <vt:lpwstr>http://www.meine-energie.de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5</cp:revision>
  <cp:lastPrinted>2014-09-01T09:20:00Z</cp:lastPrinted>
  <dcterms:created xsi:type="dcterms:W3CDTF">2014-09-02T13:41:00Z</dcterms:created>
  <dcterms:modified xsi:type="dcterms:W3CDTF">2014-09-03T06:26:00Z</dcterms:modified>
  <cp:category/>
</cp:coreProperties>
</file>