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3E122F" w:rsidRPr="00653A12" w:rsidRDefault="003E122F" w:rsidP="003E122F">
      <w:pPr>
        <w:widowControl w:val="0"/>
        <w:spacing w:line="240" w:lineRule="auto"/>
      </w:pPr>
      <w:r w:rsidRPr="00653A12">
        <w:t xml:space="preserve">Wels / Wien, am </w:t>
      </w:r>
      <w:r w:rsidR="001C4620">
        <w:t>28</w:t>
      </w:r>
      <w:r>
        <w:t>. Februar 2012</w:t>
      </w:r>
    </w:p>
    <w:p w:rsidR="003E122F" w:rsidRPr="00653A12" w:rsidRDefault="003E122F" w:rsidP="003E122F">
      <w:pPr>
        <w:widowControl w:val="0"/>
        <w:spacing w:line="240" w:lineRule="auto"/>
      </w:pPr>
    </w:p>
    <w:p w:rsidR="003E122F" w:rsidRPr="00653A12" w:rsidRDefault="003E122F" w:rsidP="00272120">
      <w:pPr>
        <w:spacing w:line="240" w:lineRule="auto"/>
        <w:ind w:right="1418"/>
      </w:pPr>
      <w:r w:rsidRPr="00653A12">
        <w:rPr>
          <w:b/>
          <w:sz w:val="28"/>
        </w:rPr>
        <w:t>Infoniqa unters</w:t>
      </w:r>
      <w:r>
        <w:rPr>
          <w:b/>
          <w:sz w:val="28"/>
        </w:rPr>
        <w:t>tützt FACC mit neuem Informationsportal</w:t>
      </w:r>
      <w:r w:rsidRPr="00653A12">
        <w:rPr>
          <w:b/>
          <w:sz w:val="28"/>
        </w:rPr>
        <w:br/>
      </w:r>
    </w:p>
    <w:p w:rsidR="003E122F" w:rsidRPr="000814CB" w:rsidRDefault="003E122F" w:rsidP="00272120">
      <w:pPr>
        <w:spacing w:line="288" w:lineRule="auto"/>
        <w:ind w:right="1418"/>
        <w:rPr>
          <w:sz w:val="22"/>
        </w:rPr>
      </w:pPr>
      <w:r w:rsidRPr="000814CB">
        <w:rPr>
          <w:sz w:val="22"/>
        </w:rPr>
        <w:t>Flugzeugindustrie-Zulieferer setzt hochverfügbare SharePoint-Plattform im Informationsm</w:t>
      </w:r>
      <w:r w:rsidRPr="000814CB">
        <w:rPr>
          <w:sz w:val="22"/>
        </w:rPr>
        <w:t>a</w:t>
      </w:r>
      <w:r w:rsidRPr="000814CB">
        <w:rPr>
          <w:sz w:val="22"/>
        </w:rPr>
        <w:t>nagement ein</w:t>
      </w:r>
    </w:p>
    <w:p w:rsidR="003E122F" w:rsidRDefault="003E122F" w:rsidP="00272120">
      <w:pPr>
        <w:spacing w:line="288" w:lineRule="auto"/>
        <w:ind w:right="1418"/>
      </w:pPr>
    </w:p>
    <w:p w:rsidR="003E122F" w:rsidRPr="004D7645" w:rsidRDefault="003E122F" w:rsidP="00272120">
      <w:pPr>
        <w:spacing w:line="288" w:lineRule="auto"/>
        <w:ind w:right="1418"/>
      </w:pPr>
      <w:r>
        <w:rPr>
          <w:b/>
        </w:rPr>
        <w:t xml:space="preserve">FACC entwickelt und </w:t>
      </w:r>
      <w:r w:rsidRPr="00A65731">
        <w:rPr>
          <w:b/>
        </w:rPr>
        <w:t>fertigt hochwertige Faserverbundkomponenten für alle großen Flugzeughersteller. Dabei arbeiten weltweit verteilte Teams an gemei</w:t>
      </w:r>
      <w:r w:rsidRPr="00A65731">
        <w:rPr>
          <w:b/>
        </w:rPr>
        <w:t>n</w:t>
      </w:r>
      <w:r w:rsidRPr="00A65731">
        <w:rPr>
          <w:b/>
        </w:rPr>
        <w:t>samen Projekten. Zur Verwaltung der zahlreichen Projektdokumente und B</w:t>
      </w:r>
      <w:r w:rsidRPr="00A65731">
        <w:rPr>
          <w:b/>
        </w:rPr>
        <w:t>e</w:t>
      </w:r>
      <w:r w:rsidRPr="00A65731">
        <w:rPr>
          <w:b/>
        </w:rPr>
        <w:t xml:space="preserve">rechtigungsstrukturen setzt das </w:t>
      </w:r>
      <w:r>
        <w:rPr>
          <w:b/>
        </w:rPr>
        <w:t>oberöste</w:t>
      </w:r>
      <w:r>
        <w:rPr>
          <w:b/>
        </w:rPr>
        <w:t>r</w:t>
      </w:r>
      <w:r>
        <w:rPr>
          <w:b/>
        </w:rPr>
        <w:t>reichische High-T</w:t>
      </w:r>
      <w:r w:rsidRPr="00A65731">
        <w:rPr>
          <w:b/>
        </w:rPr>
        <w:t>ech-Unternehmen jetzt das IT-Know-how von Infoniqa und die Microsoft Sh</w:t>
      </w:r>
      <w:r w:rsidRPr="00A65731">
        <w:rPr>
          <w:b/>
        </w:rPr>
        <w:t>a</w:t>
      </w:r>
      <w:r w:rsidRPr="00A65731">
        <w:rPr>
          <w:b/>
        </w:rPr>
        <w:t>rePoint-Portallösung ein. Die neue Plattform ermöglicht eine rasche und effiziente Informationsve</w:t>
      </w:r>
      <w:r w:rsidRPr="00A65731">
        <w:rPr>
          <w:b/>
        </w:rPr>
        <w:t>r</w:t>
      </w:r>
      <w:r w:rsidRPr="00A65731">
        <w:rPr>
          <w:b/>
        </w:rPr>
        <w:t>teilung zwischen den einzelnen Abteilungen und Projektteams und die ein</w:t>
      </w:r>
      <w:r>
        <w:rPr>
          <w:b/>
        </w:rPr>
        <w:t>fache Verwaltung von Freigaben</w:t>
      </w:r>
      <w:r w:rsidRPr="00A65731">
        <w:rPr>
          <w:b/>
        </w:rPr>
        <w:t>, Versionierung und Zugriff auf die Daten von unte</w:t>
      </w:r>
      <w:r w:rsidRPr="00A65731">
        <w:rPr>
          <w:b/>
        </w:rPr>
        <w:t>r</w:t>
      </w:r>
      <w:r w:rsidRPr="00A65731">
        <w:rPr>
          <w:b/>
        </w:rPr>
        <w:t>schiedlichen Standorten aus. „Die neue Kollaborationslösung hilft uns, Au</w:t>
      </w:r>
      <w:r w:rsidRPr="00A65731">
        <w:rPr>
          <w:b/>
        </w:rPr>
        <w:t>f</w:t>
      </w:r>
      <w:r w:rsidRPr="00A65731">
        <w:rPr>
          <w:b/>
        </w:rPr>
        <w:t xml:space="preserve">wand, Zeit und Kosten einzusparen und Fehlerquellen </w:t>
      </w:r>
      <w:r>
        <w:rPr>
          <w:b/>
        </w:rPr>
        <w:t>im Informationsman</w:t>
      </w:r>
      <w:r>
        <w:rPr>
          <w:b/>
        </w:rPr>
        <w:t>a</w:t>
      </w:r>
      <w:r>
        <w:rPr>
          <w:b/>
        </w:rPr>
        <w:t xml:space="preserve">gement </w:t>
      </w:r>
      <w:r w:rsidRPr="00A65731">
        <w:rPr>
          <w:b/>
        </w:rPr>
        <w:t>zu eliminieren“, beschreibt Stefan Wilflingseder, S</w:t>
      </w:r>
      <w:r w:rsidRPr="00A65731">
        <w:rPr>
          <w:b/>
        </w:rPr>
        <w:t>y</w:t>
      </w:r>
      <w:r w:rsidRPr="00A65731">
        <w:rPr>
          <w:b/>
        </w:rPr>
        <w:t>stem Manager</w:t>
      </w:r>
      <w:r w:rsidR="00DD0E37">
        <w:rPr>
          <w:b/>
        </w:rPr>
        <w:t xml:space="preserve"> bei</w:t>
      </w:r>
      <w:r w:rsidRPr="00A65731">
        <w:rPr>
          <w:b/>
        </w:rPr>
        <w:t xml:space="preserve"> der FACC </w:t>
      </w:r>
      <w:r>
        <w:rPr>
          <w:b/>
        </w:rPr>
        <w:t>AG</w:t>
      </w:r>
      <w:r w:rsidRPr="00A65731">
        <w:rPr>
          <w:b/>
        </w:rPr>
        <w:t>, den Nutzen.</w:t>
      </w:r>
      <w:r w:rsidRPr="00A65731">
        <w:rPr>
          <w:b/>
        </w:rPr>
        <w:br/>
      </w:r>
      <w:r w:rsidRPr="00A65731">
        <w:rPr>
          <w:b/>
        </w:rPr>
        <w:br/>
      </w:r>
      <w:r w:rsidR="00DD0E37">
        <w:t>Über</w:t>
      </w:r>
      <w:r w:rsidR="00DD0E37" w:rsidRPr="00A85D40">
        <w:t xml:space="preserve"> </w:t>
      </w:r>
      <w:r w:rsidRPr="00A85D40">
        <w:t xml:space="preserve">2.000 Mitarbeiter mit </w:t>
      </w:r>
      <w:r>
        <w:t xml:space="preserve">etwa </w:t>
      </w:r>
      <w:r w:rsidRPr="00A85D40">
        <w:t>1.</w:t>
      </w:r>
      <w:r w:rsidR="00DD0E37">
        <w:t>5</w:t>
      </w:r>
      <w:r w:rsidRPr="00A85D40">
        <w:t xml:space="preserve">00 </w:t>
      </w:r>
      <w:r>
        <w:t>PC-</w:t>
      </w:r>
      <w:r w:rsidRPr="00A85D40">
        <w:t xml:space="preserve">Endgeräten </w:t>
      </w:r>
      <w:r>
        <w:t>stehen derzeit bei FACC wel</w:t>
      </w:r>
      <w:r>
        <w:t>t</w:t>
      </w:r>
      <w:r>
        <w:t xml:space="preserve">weit im Einsatz. Bisher wurden die Informationen zu </w:t>
      </w:r>
      <w:r w:rsidRPr="00A85D40">
        <w:t>aktuelle</w:t>
      </w:r>
      <w:r>
        <w:t>n</w:t>
      </w:r>
      <w:r w:rsidRPr="00A85D40">
        <w:t xml:space="preserve"> Projekte</w:t>
      </w:r>
      <w:r>
        <w:t>n</w:t>
      </w:r>
      <w:r w:rsidRPr="00A85D40">
        <w:t xml:space="preserve"> (</w:t>
      </w:r>
      <w:r>
        <w:t>beispielswe</w:t>
      </w:r>
      <w:r>
        <w:t>i</w:t>
      </w:r>
      <w:r>
        <w:t xml:space="preserve">se Konstruktion und Fertigung von </w:t>
      </w:r>
      <w:r w:rsidRPr="00A85D40">
        <w:t xml:space="preserve">Landeklappenverkleidungen </w:t>
      </w:r>
      <w:r>
        <w:t>für Verkehrsflugze</w:t>
      </w:r>
      <w:r>
        <w:t>u</w:t>
      </w:r>
      <w:r>
        <w:t>ge</w:t>
      </w:r>
      <w:r w:rsidRPr="00A85D40">
        <w:t>)</w:t>
      </w:r>
      <w:r>
        <w:t xml:space="preserve"> </w:t>
      </w:r>
      <w:r w:rsidR="00DD0E37">
        <w:t xml:space="preserve">entweder im SAP oder </w:t>
      </w:r>
      <w:r>
        <w:t>über ein HP-UX-Server-basiertes System und die Samba-Softwaresuite verwaltet. „Das System war an seinen Gre</w:t>
      </w:r>
      <w:r>
        <w:t>n</w:t>
      </w:r>
      <w:r>
        <w:t xml:space="preserve">zen angelangt. So konnten etwa </w:t>
      </w:r>
      <w:r w:rsidR="00DD0E37">
        <w:t xml:space="preserve">komplizierte </w:t>
      </w:r>
      <w:r w:rsidRPr="00A85D40">
        <w:t xml:space="preserve">Berechtigungen </w:t>
      </w:r>
      <w:r>
        <w:t>nur mit viel</w:t>
      </w:r>
      <w:r w:rsidRPr="00A85D40">
        <w:t xml:space="preserve"> Auf</w:t>
      </w:r>
      <w:r>
        <w:t xml:space="preserve">wand abgebildet werden. Für eine </w:t>
      </w:r>
      <w:r w:rsidRPr="000A741B">
        <w:t xml:space="preserve">Freigabe </w:t>
      </w:r>
      <w:r>
        <w:t xml:space="preserve">etwa musste zuerst ein </w:t>
      </w:r>
      <w:r w:rsidRPr="000A741B">
        <w:t xml:space="preserve">Antrag an </w:t>
      </w:r>
      <w:r>
        <w:t xml:space="preserve">die </w:t>
      </w:r>
      <w:r w:rsidRPr="000A741B">
        <w:t>IT</w:t>
      </w:r>
      <w:r>
        <w:t>-Abteilung gestellt werden – ein au</w:t>
      </w:r>
      <w:r>
        <w:t>f</w:t>
      </w:r>
      <w:r>
        <w:t>wänd</w:t>
      </w:r>
      <w:r>
        <w:t>i</w:t>
      </w:r>
      <w:r>
        <w:t xml:space="preserve">ger Prozess, der zudem die Berechtigung nicht automatisch dokumentierte“, schildert Wilflingseder. „Wir suchten daher nach einer neuen Lösung, die Prozesse wie Versionierung, Suche oder Check-in/Check-out der </w:t>
      </w:r>
      <w:r w:rsidRPr="00A85D40">
        <w:t>aktuellen Projektinformationen und Dokumente</w:t>
      </w:r>
      <w:r>
        <w:t xml:space="preserve"> vereinfacht, zentral verwaltet und für unsere </w:t>
      </w:r>
      <w:r w:rsidRPr="000A741B">
        <w:t>versch</w:t>
      </w:r>
      <w:r>
        <w:t>iedenen</w:t>
      </w:r>
      <w:r w:rsidRPr="000A741B">
        <w:t xml:space="preserve"> Stando</w:t>
      </w:r>
      <w:r w:rsidRPr="000A741B">
        <w:t>r</w:t>
      </w:r>
      <w:r w:rsidRPr="000A741B">
        <w:t>ten</w:t>
      </w:r>
      <w:r>
        <w:t xml:space="preserve"> nutzbar macht.“</w:t>
      </w:r>
      <w:r>
        <w:br/>
      </w:r>
      <w:r>
        <w:br/>
      </w:r>
      <w:r w:rsidRPr="006C07C0">
        <w:rPr>
          <w:b/>
        </w:rPr>
        <w:t>Zentrales Informationsmanagement</w:t>
      </w:r>
      <w:r>
        <w:rPr>
          <w:b/>
        </w:rPr>
        <w:br/>
      </w:r>
      <w:r>
        <w:t xml:space="preserve">Mit der Unterstützung von Infoniqa führte FACC die SharePoint-Portallösung ein, um die </w:t>
      </w:r>
      <w:r w:rsidRPr="00A85D40">
        <w:t>internatio</w:t>
      </w:r>
      <w:r>
        <w:t>nale</w:t>
      </w:r>
      <w:r w:rsidRPr="00A85D40">
        <w:t xml:space="preserve"> Projektkollaboration und Informationsverteilung </w:t>
      </w:r>
      <w:r>
        <w:t>sicherzustellen. „Dabei hat Infoniqa das System pe</w:t>
      </w:r>
      <w:r>
        <w:t>r</w:t>
      </w:r>
      <w:r>
        <w:t>fekt auf unsere Anforderungen zugeschnitten und für eine</w:t>
      </w:r>
      <w:r w:rsidRPr="00C40B3E">
        <w:t xml:space="preserve"> ra</w:t>
      </w:r>
      <w:r>
        <w:t>sche U</w:t>
      </w:r>
      <w:r w:rsidRPr="00C40B3E">
        <w:t>m</w:t>
      </w:r>
      <w:r>
        <w:t xml:space="preserve">setzung gesorgt“, so </w:t>
      </w:r>
      <w:r w:rsidRPr="00C40B3E">
        <w:t>Wilflingseder</w:t>
      </w:r>
      <w:r>
        <w:t>. Im ersten Schritt steht die Plat</w:t>
      </w:r>
      <w:r>
        <w:t>t</w:t>
      </w:r>
      <w:r>
        <w:t xml:space="preserve">form </w:t>
      </w:r>
      <w:r w:rsidR="00DD0E37">
        <w:t>als</w:t>
      </w:r>
      <w:r>
        <w:t xml:space="preserve"> Intranet </w:t>
      </w:r>
      <w:r w:rsidR="00DD0E37">
        <w:t xml:space="preserve">bereits </w:t>
      </w:r>
      <w:r>
        <w:t xml:space="preserve">allen internationalen Niederlassungen (etwa in Kanada, China oder </w:t>
      </w:r>
      <w:r w:rsidR="00DD0E37">
        <w:t>der Slowakei</w:t>
      </w:r>
      <w:r>
        <w:t>) zur Verfügung. Damit können den Mitarbeitern nun Info</w:t>
      </w:r>
      <w:r>
        <w:t>r</w:t>
      </w:r>
      <w:r>
        <w:t>mationen tagesaktuell zur Verfügung gestellt werden</w:t>
      </w:r>
      <w:r w:rsidR="001C4620">
        <w:t>,</w:t>
      </w:r>
      <w:r w:rsidR="00DD0E37">
        <w:t xml:space="preserve"> wie</w:t>
      </w:r>
      <w:r w:rsidR="001C4620">
        <w:t xml:space="preserve"> </w:t>
      </w:r>
      <w:r>
        <w:t xml:space="preserve">etwa </w:t>
      </w:r>
      <w:r w:rsidR="00DD0E37">
        <w:t>die jeweilige Projektdokument</w:t>
      </w:r>
      <w:r w:rsidR="00DD0E37">
        <w:t>a</w:t>
      </w:r>
      <w:r w:rsidR="00DD0E37">
        <w:t>tion, Management-Informationen oder Produktpräsentationen</w:t>
      </w:r>
      <w:r>
        <w:t xml:space="preserve">. Die </w:t>
      </w:r>
      <w:r w:rsidR="00DD0E37">
        <w:t xml:space="preserve">bestehenden </w:t>
      </w:r>
      <w:r>
        <w:t>Pr</w:t>
      </w:r>
      <w:r>
        <w:t>o</w:t>
      </w:r>
      <w:r>
        <w:t>jekte</w:t>
      </w:r>
      <w:r w:rsidRPr="000A741B">
        <w:t xml:space="preserve"> </w:t>
      </w:r>
      <w:r>
        <w:t xml:space="preserve">selbst werden weiterhin </w:t>
      </w:r>
      <w:r w:rsidRPr="000A741B">
        <w:t xml:space="preserve">in SAP PLM </w:t>
      </w:r>
      <w:r>
        <w:t>(Product Lifecycle Management)</w:t>
      </w:r>
      <w:r w:rsidR="001C4620">
        <w:t xml:space="preserve"> bezi</w:t>
      </w:r>
      <w:r w:rsidR="001C4620">
        <w:t>e</w:t>
      </w:r>
      <w:r w:rsidR="001C4620">
        <w:t>hungsweise</w:t>
      </w:r>
      <w:r w:rsidR="00DD0E37">
        <w:t xml:space="preserve"> über den Fileserver</w:t>
      </w:r>
      <w:r>
        <w:t xml:space="preserve"> </w:t>
      </w:r>
      <w:r w:rsidRPr="000A741B">
        <w:t>ver</w:t>
      </w:r>
      <w:r>
        <w:t>wa</w:t>
      </w:r>
      <w:r>
        <w:t>l</w:t>
      </w:r>
      <w:r>
        <w:t>tet.</w:t>
      </w:r>
      <w:r>
        <w:br/>
        <w:t xml:space="preserve">Durch praktische Features wie die automatisierte </w:t>
      </w:r>
      <w:r w:rsidR="00953E17">
        <w:t xml:space="preserve">Versionsverwaltung und Historie </w:t>
      </w:r>
      <w:r>
        <w:t>sind die Dokumente immer auf dem aktuellen Stand und Änderungen nachvollziehbar. Das Alert Management sendet Benachrichtigungen, wenn der Status eines Dok</w:t>
      </w:r>
      <w:r>
        <w:t>u</w:t>
      </w:r>
      <w:r>
        <w:t>ments geändert wurde. Auch das Überschreiben oder unbeabsichtigte Löschen von Dokumenten ist nun fast ausgeschlossen. „Damit ist nicht nur ein s</w:t>
      </w:r>
      <w:r w:rsidRPr="00A85D40">
        <w:t>chnellere</w:t>
      </w:r>
      <w:r>
        <w:t>r</w:t>
      </w:r>
      <w:r w:rsidRPr="00A85D40">
        <w:t xml:space="preserve"> und ei</w:t>
      </w:r>
      <w:r w:rsidRPr="00A85D40">
        <w:t>n</w:t>
      </w:r>
      <w:r>
        <w:t xml:space="preserve">facherer Informationsfluss zwischen den </w:t>
      </w:r>
      <w:r w:rsidRPr="00A85D40">
        <w:t xml:space="preserve">verschiedenen Abteilungen </w:t>
      </w:r>
      <w:r>
        <w:t>möglich, das System beschleunigt und vereinfacht auch das Berechtigungsmanagement. So kö</w:t>
      </w:r>
      <w:r>
        <w:t>n</w:t>
      </w:r>
      <w:r>
        <w:t>nen etwa die Abteilungsleiter nun selbst einzelnen Usern den Zutritt zu</w:t>
      </w:r>
      <w:r w:rsidRPr="00A85D40">
        <w:t xml:space="preserve"> Pro</w:t>
      </w:r>
      <w:r>
        <w:t>jektinform</w:t>
      </w:r>
      <w:r>
        <w:t>a</w:t>
      </w:r>
      <w:r>
        <w:t>tionen erteilen</w:t>
      </w:r>
      <w:r w:rsidRPr="00A85D40">
        <w:t xml:space="preserve"> anstatt jede </w:t>
      </w:r>
      <w:r>
        <w:t>Freigabe von</w:t>
      </w:r>
      <w:r w:rsidRPr="00A85D40">
        <w:t xml:space="preserve"> </w:t>
      </w:r>
      <w:r>
        <w:t>der</w:t>
      </w:r>
      <w:r w:rsidRPr="00A85D40">
        <w:t xml:space="preserve"> IT-Abteilung </w:t>
      </w:r>
      <w:r w:rsidR="00DD0E37">
        <w:t xml:space="preserve">durchführen </w:t>
      </w:r>
      <w:r>
        <w:t>lassen zu mü</w:t>
      </w:r>
      <w:r>
        <w:t>s</w:t>
      </w:r>
      <w:r>
        <w:t>sen. Das vereinfacht die Prozesse und spart wertvolle Ressourcen. Auch mobile Mi</w:t>
      </w:r>
      <w:r>
        <w:t>t</w:t>
      </w:r>
      <w:r>
        <w:t>arbeiter haben nun direkten Zugriff auf Projektdaten, inklusive Ko</w:t>
      </w:r>
      <w:r>
        <w:t>r</w:t>
      </w:r>
      <w:r>
        <w:t>respondenz, E-Mails und Kalender. Zudem kommt die hohe Bedienungsfreundlichkeit von SharePoint bei den Usern gut an“, erklärt Wilflingseder.</w:t>
      </w:r>
      <w:r>
        <w:br/>
        <w:t>Im nächsten Schritt wird das Informationsportal sukzessive um neue Projekte und Abteilungen erweitert. Dann sollen Schnittstellen zu SAP PLM und zum Dokumente</w:t>
      </w:r>
      <w:r>
        <w:t>n</w:t>
      </w:r>
      <w:r>
        <w:t xml:space="preserve">managementsystem eingerichtet sowie auch Lieferanten und Kunden eingebunden werden. „Langfristiges Ziel ist es, das </w:t>
      </w:r>
      <w:r w:rsidRPr="00A85D40">
        <w:t xml:space="preserve">System als zentrales Informationssystem </w:t>
      </w:r>
      <w:r>
        <w:t>zu nutzen</w:t>
      </w:r>
      <w:r w:rsidRPr="00A85D40">
        <w:t xml:space="preserve">, </w:t>
      </w:r>
      <w:r>
        <w:t>das von der aktuellen P</w:t>
      </w:r>
      <w:r w:rsidRPr="00C40B3E">
        <w:t>rojektdoku</w:t>
      </w:r>
      <w:r>
        <w:t>mentation über die Vo</w:t>
      </w:r>
      <w:r w:rsidRPr="00C40B3E">
        <w:t>r</w:t>
      </w:r>
      <w:r>
        <w:t>stellung neuer M</w:t>
      </w:r>
      <w:r w:rsidRPr="00C40B3E">
        <w:t>ita</w:t>
      </w:r>
      <w:r w:rsidRPr="00C40B3E">
        <w:t>r</w:t>
      </w:r>
      <w:r w:rsidRPr="00C40B3E">
        <w:t>beiter</w:t>
      </w:r>
      <w:r>
        <w:t xml:space="preserve"> bis zum</w:t>
      </w:r>
      <w:r w:rsidRPr="00A85D40">
        <w:t xml:space="preserve"> </w:t>
      </w:r>
      <w:r>
        <w:t xml:space="preserve">täglichen </w:t>
      </w:r>
      <w:r w:rsidRPr="00A85D40">
        <w:t>Menü</w:t>
      </w:r>
      <w:r>
        <w:t>plan sämtliche Informationen liefert“, blickt Wilflingseder voraus.</w:t>
      </w:r>
      <w:r>
        <w:br/>
      </w:r>
      <w:r>
        <w:br/>
      </w:r>
      <w:r w:rsidRPr="004B26EB">
        <w:rPr>
          <w:b/>
        </w:rPr>
        <w:t>Über FACC</w:t>
      </w:r>
      <w:r w:rsidRPr="004B26EB">
        <w:rPr>
          <w:b/>
        </w:rPr>
        <w:br/>
      </w:r>
      <w:r w:rsidRPr="00535422">
        <w:t>FACC ist ein weltweit führende</w:t>
      </w:r>
      <w:r>
        <w:t>r</w:t>
      </w:r>
      <w:r w:rsidRPr="00535422">
        <w:t xml:space="preserve"> Hersteller von innovativen Faserv</w:t>
      </w:r>
      <w:r>
        <w:t>erbundkomponenten und -systemen</w:t>
      </w:r>
      <w:r w:rsidRPr="00535422">
        <w:t xml:space="preserve"> für die Luftfahrtindustrie. Das </w:t>
      </w:r>
      <w:r>
        <w:t>Angebot</w:t>
      </w:r>
      <w:r w:rsidRPr="00535422">
        <w:t xml:space="preserve"> </w:t>
      </w:r>
      <w:r>
        <w:t>umfasst hochwertige</w:t>
      </w:r>
      <w:r w:rsidRPr="00535422">
        <w:t xml:space="preserve"> Struktu</w:t>
      </w:r>
      <w:r w:rsidRPr="00535422">
        <w:t>r</w:t>
      </w:r>
      <w:r>
        <w:t xml:space="preserve">bauteile </w:t>
      </w:r>
      <w:r w:rsidR="005866EC">
        <w:t>an</w:t>
      </w:r>
      <w:r w:rsidR="003E3126">
        <w:t xml:space="preserve"> </w:t>
      </w:r>
      <w:r>
        <w:t>Rumpf, Tragflächen</w:t>
      </w:r>
      <w:r w:rsidR="005866EC">
        <w:t xml:space="preserve"> und</w:t>
      </w:r>
      <w:r w:rsidR="001C4620">
        <w:t xml:space="preserve"> </w:t>
      </w:r>
      <w:r w:rsidRPr="00535422">
        <w:t>Leitwerk</w:t>
      </w:r>
      <w:r>
        <w:t xml:space="preserve">, </w:t>
      </w:r>
      <w:r w:rsidRPr="00535422">
        <w:t xml:space="preserve">Triebwerkskomponenten </w:t>
      </w:r>
      <w:r w:rsidR="003E3126">
        <w:t>und</w:t>
      </w:r>
      <w:r w:rsidRPr="00535422">
        <w:t xml:space="preserve"> Innenau</w:t>
      </w:r>
      <w:r w:rsidRPr="00535422">
        <w:t>s</w:t>
      </w:r>
      <w:r w:rsidRPr="00535422">
        <w:t>stattungen von Verkehrsflugzeugen und Hu</w:t>
      </w:r>
      <w:r w:rsidRPr="00535422">
        <w:t>b</w:t>
      </w:r>
      <w:r w:rsidRPr="00535422">
        <w:t xml:space="preserve">schraubern. Das Unternehmen mit Sitz in Ried/Innkreis und Niederlassungen </w:t>
      </w:r>
      <w:r>
        <w:t xml:space="preserve">in Reichersberg, Wien, Bratislava, Montreal (CAN) und </w:t>
      </w:r>
      <w:r w:rsidRPr="00535422">
        <w:t xml:space="preserve">Wichita (USA) produziert für Airbus, Boeing, Bombardier und Embraer sowie </w:t>
      </w:r>
      <w:r w:rsidR="00DD0E37">
        <w:t xml:space="preserve">namhafte </w:t>
      </w:r>
      <w:r w:rsidRPr="00535422">
        <w:t>Triebwerkshersteller</w:t>
      </w:r>
      <w:r w:rsidR="00DD0E37">
        <w:t xml:space="preserve"> wie Rolls-Royce</w:t>
      </w:r>
      <w:r w:rsidRPr="00535422">
        <w:t xml:space="preserve">. Nahezu die gesamte Produktion wird </w:t>
      </w:r>
      <w:r>
        <w:t>exportiert</w:t>
      </w:r>
      <w:r w:rsidRPr="004D7645">
        <w:t>.</w:t>
      </w:r>
      <w:r>
        <w:t xml:space="preserve"> Der Umsatz erreichte 2010/11 rund 271,8 Millionen Euro bei einem Mita</w:t>
      </w:r>
      <w:r>
        <w:t>r</w:t>
      </w:r>
      <w:r>
        <w:t>beiterstand von 1.582.</w:t>
      </w:r>
    </w:p>
    <w:p w:rsidR="003E122F" w:rsidRDefault="003E122F" w:rsidP="003E122F"/>
    <w:tbl>
      <w:tblPr>
        <w:tblpPr w:leftFromText="141" w:rightFromText="141" w:vertAnchor="text" w:horzAnchor="page" w:tblpX="1489" w:tblpY="-55"/>
        <w:tblW w:w="9284" w:type="dxa"/>
        <w:tblLayout w:type="fixed"/>
        <w:tblCellMar>
          <w:left w:w="70" w:type="dxa"/>
          <w:right w:w="70" w:type="dxa"/>
        </w:tblCellMar>
        <w:tblLook w:val="0000"/>
      </w:tblPr>
      <w:tblGrid>
        <w:gridCol w:w="3472"/>
        <w:gridCol w:w="5812"/>
      </w:tblGrid>
      <w:tr w:rsidR="003E122F" w:rsidRPr="009D0488">
        <w:trPr>
          <w:trHeight w:val="1436"/>
        </w:trPr>
        <w:tc>
          <w:tcPr>
            <w:tcW w:w="3472" w:type="dxa"/>
          </w:tcPr>
          <w:p w:rsidR="003E3126" w:rsidRDefault="00990394" w:rsidP="00F31997">
            <w:pPr>
              <w:spacing w:line="240" w:lineRule="auto"/>
              <w:rPr>
                <w:b/>
                <w:sz w:val="18"/>
              </w:rPr>
            </w:pPr>
            <w:r w:rsidRPr="00990394">
              <w:rPr>
                <w:b/>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3pt;height:130.65pt">
                  <v:imagedata r:id="rId8" o:title="neu Kopie.JPG"/>
                </v:shape>
              </w:pict>
            </w:r>
          </w:p>
          <w:p w:rsidR="003E122F" w:rsidRPr="00535422" w:rsidRDefault="003E122F" w:rsidP="00F31997">
            <w:pPr>
              <w:spacing w:line="240" w:lineRule="auto"/>
              <w:rPr>
                <w:b/>
                <w:sz w:val="18"/>
              </w:rPr>
            </w:pPr>
          </w:p>
          <w:p w:rsidR="003E122F" w:rsidRPr="00D905C7" w:rsidRDefault="003E122F" w:rsidP="00F31997">
            <w:pPr>
              <w:spacing w:line="240" w:lineRule="auto"/>
              <w:rPr>
                <w:b/>
                <w:sz w:val="18"/>
              </w:rPr>
            </w:pPr>
            <w:r w:rsidRPr="00535422">
              <w:rPr>
                <w:b/>
                <w:sz w:val="18"/>
              </w:rPr>
              <w:t xml:space="preserve">Stefan Wilflingseder, System Manager der FACC </w:t>
            </w:r>
            <w:r>
              <w:rPr>
                <w:b/>
                <w:sz w:val="18"/>
              </w:rPr>
              <w:t>AG</w:t>
            </w:r>
          </w:p>
        </w:tc>
        <w:tc>
          <w:tcPr>
            <w:tcW w:w="5812" w:type="dxa"/>
          </w:tcPr>
          <w:p w:rsidR="003E122F" w:rsidRDefault="00990394" w:rsidP="00F31997">
            <w:pPr>
              <w:pStyle w:val="Textkrper"/>
              <w:tabs>
                <w:tab w:val="left" w:pos="7513"/>
              </w:tabs>
              <w:spacing w:line="240" w:lineRule="auto"/>
              <w:ind w:right="426"/>
              <w:rPr>
                <w:b w:val="0"/>
                <w:sz w:val="18"/>
              </w:rPr>
            </w:pPr>
            <w:r w:rsidRPr="00990394">
              <w:rPr>
                <w:b w:val="0"/>
                <w:sz w:val="18"/>
              </w:rPr>
              <w:pict>
                <v:shape id="_x0000_i1026" type="#_x0000_t75" style="width:170.7pt;height:131.25pt">
                  <v:imagedata r:id="rId9" o:title="FACC_Triebwerksverkleidungweb"/>
                </v:shape>
              </w:pict>
            </w:r>
          </w:p>
          <w:p w:rsidR="003E3126" w:rsidRDefault="003E3126" w:rsidP="00F31997">
            <w:pPr>
              <w:pStyle w:val="Textkrper"/>
              <w:tabs>
                <w:tab w:val="left" w:pos="7513"/>
              </w:tabs>
              <w:spacing w:line="240" w:lineRule="auto"/>
              <w:ind w:right="426"/>
              <w:rPr>
                <w:sz w:val="18"/>
              </w:rPr>
            </w:pPr>
          </w:p>
          <w:p w:rsidR="003E122F" w:rsidRPr="00D905C7" w:rsidRDefault="003E122F" w:rsidP="00F31997">
            <w:pPr>
              <w:pStyle w:val="Textkrper"/>
              <w:tabs>
                <w:tab w:val="left" w:pos="7513"/>
              </w:tabs>
              <w:spacing w:line="240" w:lineRule="auto"/>
              <w:ind w:right="426"/>
              <w:rPr>
                <w:sz w:val="18"/>
              </w:rPr>
            </w:pPr>
            <w:r w:rsidRPr="004D0E0C">
              <w:rPr>
                <w:sz w:val="18"/>
              </w:rPr>
              <w:t>FACC entwickelt und fertigt u.a. die Schubumkehreinheit des neuen Boeing 787 „Dreamliner”</w:t>
            </w:r>
          </w:p>
        </w:tc>
      </w:tr>
    </w:tbl>
    <w:p w:rsidR="003E122F" w:rsidRPr="0021215F" w:rsidRDefault="003E122F" w:rsidP="00F31997">
      <w:pPr>
        <w:widowControl w:val="0"/>
        <w:spacing w:line="240" w:lineRule="auto"/>
        <w:rPr>
          <w:b/>
          <w:sz w:val="18"/>
        </w:rPr>
      </w:pPr>
      <w:r w:rsidRPr="0021215F">
        <w:rPr>
          <w:b/>
          <w:sz w:val="18"/>
        </w:rPr>
        <w:t>Das Bildmaterial steht auf www.press-n-relations.com zum Download bereit.</w:t>
      </w:r>
    </w:p>
    <w:p w:rsidR="003E122F" w:rsidRPr="0021215F" w:rsidRDefault="003E122F" w:rsidP="00F31997">
      <w:pPr>
        <w:widowControl w:val="0"/>
        <w:spacing w:line="240" w:lineRule="auto"/>
        <w:rPr>
          <w:b/>
          <w:sz w:val="18"/>
        </w:rPr>
      </w:pPr>
    </w:p>
    <w:tbl>
      <w:tblPr>
        <w:tblW w:w="9426" w:type="dxa"/>
        <w:tblCellMar>
          <w:left w:w="70" w:type="dxa"/>
          <w:right w:w="70" w:type="dxa"/>
        </w:tblCellMar>
        <w:tblLook w:val="0000"/>
      </w:tblPr>
      <w:tblGrid>
        <w:gridCol w:w="4748"/>
        <w:gridCol w:w="4678"/>
      </w:tblGrid>
      <w:tr w:rsidR="003E122F" w:rsidRPr="00653A12">
        <w:trPr>
          <w:trHeight w:val="1004"/>
        </w:trPr>
        <w:tc>
          <w:tcPr>
            <w:tcW w:w="4748" w:type="dxa"/>
          </w:tcPr>
          <w:p w:rsidR="003E122F" w:rsidRPr="00203516" w:rsidRDefault="003E122F" w:rsidP="00F31997">
            <w:pPr>
              <w:widowControl w:val="0"/>
              <w:autoSpaceDE w:val="0"/>
              <w:autoSpaceDN w:val="0"/>
              <w:adjustRightInd w:val="0"/>
              <w:spacing w:line="240" w:lineRule="auto"/>
              <w:ind w:right="-2126"/>
              <w:rPr>
                <w:sz w:val="16"/>
                <w:szCs w:val="18"/>
              </w:rPr>
            </w:pPr>
            <w:r w:rsidRPr="00653A12">
              <w:rPr>
                <w:b/>
                <w:color w:val="000000"/>
                <w:sz w:val="16"/>
              </w:rPr>
              <w:t>Weitere Informationen:</w:t>
            </w:r>
            <w:r w:rsidRPr="00653A12">
              <w:rPr>
                <w:color w:val="000000"/>
                <w:sz w:val="16"/>
              </w:rPr>
              <w:br/>
            </w:r>
            <w:r w:rsidRPr="00203516">
              <w:rPr>
                <w:sz w:val="16"/>
                <w:szCs w:val="18"/>
              </w:rPr>
              <w:t xml:space="preserve">Infoniqa </w:t>
            </w:r>
            <w:r w:rsidRPr="00203516">
              <w:rPr>
                <w:sz w:val="16"/>
              </w:rPr>
              <w:t xml:space="preserve">Informationstechnik GmbH </w:t>
            </w:r>
            <w:r w:rsidRPr="00203516">
              <w:rPr>
                <w:sz w:val="16"/>
                <w:szCs w:val="18"/>
              </w:rPr>
              <w:t xml:space="preserve">– </w:t>
            </w:r>
            <w:r w:rsidRPr="00203516">
              <w:rPr>
                <w:sz w:val="16"/>
              </w:rPr>
              <w:t>Mag. Ronald Bürscher</w:t>
            </w:r>
            <w:r w:rsidRPr="00203516">
              <w:rPr>
                <w:sz w:val="16"/>
              </w:rPr>
              <w:br/>
            </w:r>
            <w:r w:rsidRPr="00203516">
              <w:rPr>
                <w:color w:val="000000"/>
                <w:sz w:val="16"/>
                <w:szCs w:val="18"/>
              </w:rPr>
              <w:t>Traunufer Arkade 1 – 4600 Thalheim bei Wels</w:t>
            </w:r>
            <w:r w:rsidRPr="00203516">
              <w:rPr>
                <w:color w:val="000000"/>
                <w:sz w:val="16"/>
                <w:szCs w:val="18"/>
              </w:rPr>
              <w:br/>
              <w:t>Tel.: +43 7242 9396 – 3368</w:t>
            </w:r>
            <w:r w:rsidRPr="00203516">
              <w:rPr>
                <w:sz w:val="16"/>
                <w:szCs w:val="18"/>
              </w:rPr>
              <w:br/>
            </w:r>
            <w:r w:rsidRPr="00203516">
              <w:rPr>
                <w:color w:val="000000"/>
                <w:sz w:val="16"/>
                <w:szCs w:val="18"/>
              </w:rPr>
              <w:t>ronald.buerscher@infoniqa</w:t>
            </w:r>
            <w:r w:rsidRPr="00A70CCB">
              <w:rPr>
                <w:color w:val="000000"/>
                <w:sz w:val="16"/>
                <w:szCs w:val="18"/>
              </w:rPr>
              <w:t>.at – www.infoniqa.at</w:t>
            </w:r>
          </w:p>
        </w:tc>
        <w:tc>
          <w:tcPr>
            <w:tcW w:w="4678" w:type="dxa"/>
          </w:tcPr>
          <w:p w:rsidR="003E122F" w:rsidRPr="00653A12" w:rsidRDefault="003E122F" w:rsidP="00F31997">
            <w:pPr>
              <w:widowControl w:val="0"/>
              <w:spacing w:line="240" w:lineRule="auto"/>
              <w:rPr>
                <w:color w:val="000000"/>
                <w:sz w:val="16"/>
              </w:rPr>
            </w:pPr>
            <w:r w:rsidRPr="00653A12">
              <w:rPr>
                <w:b/>
                <w:color w:val="000000"/>
                <w:sz w:val="16"/>
              </w:rPr>
              <w:t>Presse- und Öffentlichkeitsarbeit:</w:t>
            </w:r>
            <w:r w:rsidRPr="00653A12">
              <w:rPr>
                <w:color w:val="000000"/>
                <w:sz w:val="16"/>
              </w:rPr>
              <w:br/>
              <w:t>Press’n’Relations Austria GmbH – Georg Dutzi</w:t>
            </w:r>
            <w:r w:rsidRPr="00653A12">
              <w:rPr>
                <w:color w:val="000000"/>
                <w:sz w:val="16"/>
              </w:rPr>
              <w:br/>
              <w:t>Schwindgasse 10 – 1040 Wien</w:t>
            </w:r>
            <w:r w:rsidRPr="00653A12">
              <w:rPr>
                <w:color w:val="000000"/>
                <w:sz w:val="16"/>
              </w:rPr>
              <w:br/>
              <w:t>Tel.: + 43 1 907 61 48 - 10 – Fax: + 43 1 907 61 48 – 15</w:t>
            </w:r>
            <w:r w:rsidRPr="00653A12">
              <w:rPr>
                <w:color w:val="000000"/>
                <w:sz w:val="16"/>
              </w:rPr>
              <w:br/>
              <w:t>gd@press-n-relations.at - www.press-n-relations.com</w:t>
            </w:r>
          </w:p>
        </w:tc>
      </w:tr>
    </w:tbl>
    <w:p w:rsidR="00F31997" w:rsidRPr="00F70BEF" w:rsidRDefault="00F31997" w:rsidP="001B788A">
      <w:pPr>
        <w:widowControl w:val="0"/>
        <w:spacing w:line="240" w:lineRule="auto"/>
        <w:ind w:right="-284"/>
        <w:rPr>
          <w:b/>
          <w:sz w:val="16"/>
        </w:rPr>
      </w:pPr>
      <w:r w:rsidRPr="00653A12">
        <w:rPr>
          <w:b/>
          <w:color w:val="000000"/>
          <w:sz w:val="16"/>
        </w:rPr>
        <w:br/>
      </w:r>
      <w:r w:rsidRPr="00F70BEF">
        <w:rPr>
          <w:b/>
          <w:sz w:val="16"/>
        </w:rPr>
        <w:t>Über Infoniqa Informationstechnik GmbH</w:t>
      </w:r>
    </w:p>
    <w:p w:rsidR="00F31997" w:rsidRPr="00015B1E" w:rsidRDefault="00F31997" w:rsidP="001B788A">
      <w:pPr>
        <w:widowControl w:val="0"/>
        <w:spacing w:line="240" w:lineRule="auto"/>
        <w:ind w:right="-284"/>
        <w:rPr>
          <w:sz w:val="16"/>
          <w:lang w:val="de-AT"/>
        </w:rPr>
      </w:pPr>
      <w:r w:rsidRPr="00015B1E">
        <w:rPr>
          <w:sz w:val="16"/>
          <w:lang w:val="de-AT"/>
        </w:rPr>
        <w:t>Die Infoniqa Informationstechnik GmbH ist Teil der international tätigen Infoniqa Gruppe und bietet seit 1988 maßgeschneiderte IT-Gesamtlösungen. Das Unternehmen betreut von den Standorten Wien und Wels aus rund 200 Kunden am österreichischen Markt. Die Kompetenzen reichen von komplexen IT-Infrastrukturlösungen und allen damit verbundenen Dienstleistungen über Individualsoftware-Entwicklung, ganzheitliche Archivierungs- und Workflow-Systeme bis hin zur Einführung moderner Portal- und Kommunikationslösungen. Das umfassende Portfolio wird durch professionelles Projektmanagement, Consulting und einen kompetenten Service Desk aufgewertet. Die enge Zusammenarbeit mit ausgewählten Partnern wie Microsoft, IBM oder Symantec schafft die Basis für effektive und wirtschaftliche Kundenlösungen.</w:t>
      </w:r>
    </w:p>
    <w:p w:rsidR="00F31997" w:rsidRPr="001B788A" w:rsidRDefault="00F31997" w:rsidP="001B788A">
      <w:pPr>
        <w:widowControl w:val="0"/>
        <w:spacing w:line="240" w:lineRule="auto"/>
        <w:ind w:right="-284"/>
        <w:rPr>
          <w:b/>
          <w:color w:val="000000"/>
          <w:sz w:val="16"/>
        </w:rPr>
      </w:pPr>
      <w:r>
        <w:rPr>
          <w:b/>
          <w:color w:val="000000"/>
          <w:sz w:val="16"/>
        </w:rPr>
        <w:br/>
      </w:r>
      <w:r w:rsidRPr="00653A12">
        <w:rPr>
          <w:b/>
          <w:color w:val="000000"/>
          <w:sz w:val="16"/>
        </w:rPr>
        <w:t>Über Infoniqa Holding AG</w:t>
      </w:r>
      <w:r w:rsidRPr="00653A12">
        <w:rPr>
          <w:b/>
          <w:color w:val="000000"/>
          <w:sz w:val="16"/>
        </w:rPr>
        <w:br/>
      </w:r>
      <w:r w:rsidRPr="00653A12">
        <w:rPr>
          <w:color w:val="000000"/>
          <w:sz w:val="16"/>
        </w:rPr>
        <w:t>Die Infoniqa Gruppe wurde 2006 gegründet und bietet als international tätige Software- und IT-Dienstleistungs-Gruppe mit ihren Tochterunternehmen an dreizehn Standorten im deutschsprachigen Raum innovative Softwareprodukte, qualifizierte Beratung sowie komplexe IT-Infrastruktursysteme für Unternehmen und Institutionen an. Der Fokus liegt in den Bereichen Lohnabrechnung und Personalmanagement, Informationsmanagement, IT-Infrastruktur sowie Business-Software. Mit rund 200 Mitarbeitern betreut die Infoniqa Gruppe rund 3.000 Kunden.</w:t>
      </w:r>
    </w:p>
    <w:sectPr w:rsidR="00F31997" w:rsidRPr="001B788A" w:rsidSect="00F31997">
      <w:headerReference w:type="default" r:id="rId10"/>
      <w:pgSz w:w="11906" w:h="16838"/>
      <w:pgMar w:top="1843" w:right="1416" w:bottom="1276" w:left="1417" w:header="708" w:footer="708" w:gutter="0"/>
      <w:cols w:space="708"/>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EB0F40" w:rsidRDefault="00EB0F40">
      <w:r>
        <w:separator/>
      </w:r>
    </w:p>
  </w:endnote>
  <w:endnote w:type="continuationSeparator" w:id="1">
    <w:p w:rsidR="00EB0F40" w:rsidRDefault="00EB0F40">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Cambria">
    <w:panose1 w:val="00000000000000000000"/>
    <w:charset w:val="4D"/>
    <w:family w:val="roman"/>
    <w:notTrueType/>
    <w:pitch w:val="default"/>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맑은 고딕">
    <w:panose1 w:val="00000000000000000000"/>
    <w:charset w:val="4D"/>
    <w:family w:val="roman"/>
    <w:notTrueType/>
    <w:pitch w:val="default"/>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EB0F40" w:rsidRDefault="00EB0F40">
      <w:r>
        <w:separator/>
      </w:r>
    </w:p>
  </w:footnote>
  <w:footnote w:type="continuationSeparator" w:id="1">
    <w:p w:rsidR="00EB0F40" w:rsidRDefault="00EB0F40">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E122F" w:rsidRDefault="003E122F" w:rsidP="003E122F">
    <w:pPr>
      <w:pStyle w:val="Kopfzeile"/>
      <w:tabs>
        <w:tab w:val="clear" w:pos="9072"/>
        <w:tab w:val="right" w:pos="10065"/>
      </w:tabs>
      <w:ind w:right="-2268"/>
      <w:jc w:val="right"/>
    </w:pPr>
  </w:p>
  <w:p w:rsidR="003E122F" w:rsidRPr="00F31997" w:rsidRDefault="00990394" w:rsidP="00F31997">
    <w:pPr>
      <w:pStyle w:val="Kopfzeile"/>
      <w:spacing w:line="24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INF Logo 4c neu" style="position:absolute;margin-left:320.2pt;margin-top:12.2pt;width:172.3pt;height:23.3pt;z-index:251658240;visibility:visible;mso-position-horizontal:absolute;mso-position-vertical:absolute">
          <v:imagedata r:id="rId1" o:title="INF Logo 4c neu"/>
        </v:shape>
      </w:pict>
    </w:r>
    <w:r w:rsidR="00F31997" w:rsidRPr="00F31997">
      <w:rPr>
        <w:sz w:val="16"/>
      </w:rPr>
      <w:br/>
    </w:r>
    <w:r w:rsidR="003E122F" w:rsidRPr="00A3183C">
      <w:rPr>
        <w:sz w:val="32"/>
      </w:rPr>
      <w:t>PRESSEINFORMATION</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ED9E7C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9B349498"/>
    <w:lvl w:ilvl="0" w:tplc="F800DC6C">
      <w:numFmt w:val="none"/>
      <w:lvlText w:val=""/>
      <w:lvlJc w:val="left"/>
      <w:pPr>
        <w:tabs>
          <w:tab w:val="num" w:pos="360"/>
        </w:tabs>
      </w:pPr>
    </w:lvl>
    <w:lvl w:ilvl="1" w:tplc="A1804968">
      <w:numFmt w:val="decimal"/>
      <w:lvlText w:val=""/>
      <w:lvlJc w:val="left"/>
    </w:lvl>
    <w:lvl w:ilvl="2" w:tplc="6AF819E8">
      <w:numFmt w:val="decimal"/>
      <w:lvlText w:val=""/>
      <w:lvlJc w:val="left"/>
    </w:lvl>
    <w:lvl w:ilvl="3" w:tplc="535EAD9E">
      <w:numFmt w:val="decimal"/>
      <w:lvlText w:val=""/>
      <w:lvlJc w:val="left"/>
    </w:lvl>
    <w:lvl w:ilvl="4" w:tplc="0E1800EC">
      <w:numFmt w:val="decimal"/>
      <w:lvlText w:val=""/>
      <w:lvlJc w:val="left"/>
    </w:lvl>
    <w:lvl w:ilvl="5" w:tplc="D2046ACA">
      <w:numFmt w:val="decimal"/>
      <w:lvlText w:val=""/>
      <w:lvlJc w:val="left"/>
    </w:lvl>
    <w:lvl w:ilvl="6" w:tplc="210E95B0">
      <w:numFmt w:val="decimal"/>
      <w:lvlText w:val=""/>
      <w:lvlJc w:val="left"/>
    </w:lvl>
    <w:lvl w:ilvl="7" w:tplc="03F66B2C">
      <w:numFmt w:val="decimal"/>
      <w:lvlText w:val=""/>
      <w:lvlJc w:val="left"/>
    </w:lvl>
    <w:lvl w:ilvl="8" w:tplc="0D8C19E2">
      <w:numFmt w:val="decimal"/>
      <w:lvlText w:val=""/>
      <w:lvlJc w:val="left"/>
    </w:lvl>
  </w:abstractNum>
  <w:abstractNum w:abstractNumId="2">
    <w:nsid w:val="50453F07"/>
    <w:multiLevelType w:val="hybridMultilevel"/>
    <w:tmpl w:val="66DEC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70F405EA"/>
    <w:multiLevelType w:val="hybridMultilevel"/>
    <w:tmpl w:val="1F102B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2"/>
  <w:embedSystemFonts/>
  <w:stylePaneFormatFilter w:val="3701"/>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splitPgBreakAndParaMark/>
  </w:compat>
  <w:rsids>
    <w:rsidRoot w:val="00A3183C"/>
    <w:rsid w:val="000E1027"/>
    <w:rsid w:val="001B788A"/>
    <w:rsid w:val="001C4620"/>
    <w:rsid w:val="00203E86"/>
    <w:rsid w:val="00272120"/>
    <w:rsid w:val="003124E6"/>
    <w:rsid w:val="003E122F"/>
    <w:rsid w:val="003E3126"/>
    <w:rsid w:val="005866EC"/>
    <w:rsid w:val="008C7B9C"/>
    <w:rsid w:val="00953E17"/>
    <w:rsid w:val="00990394"/>
    <w:rsid w:val="00A3183C"/>
    <w:rsid w:val="00BA4E5A"/>
    <w:rsid w:val="00BF293B"/>
    <w:rsid w:val="00DD0E37"/>
    <w:rsid w:val="00EB0F40"/>
    <w:rsid w:val="00F26108"/>
    <w:rsid w:val="00F31997"/>
  </w:rsids>
  <m:mathPr>
    <m:mathFont m:val="Wingdings 2"/>
    <m:brkBin m:val="before"/>
    <m:brkBinSub m:val="--"/>
    <m:smallFrac m:val="off"/>
    <m:dispDef/>
    <m:lMargin m:val="0"/>
    <m:rMargin m:val="0"/>
    <m:defJc m:val="centerGroup"/>
    <m:wrapIndent m:val="1440"/>
    <m:intLim m:val="subSup"/>
    <m:naryLim m:val="undOvr"/>
  </m:mathPr>
  <w:uiCompat97To2003/>
  <w:themeFontLang w:val="de-AT"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ko-K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8726A"/>
    <w:pPr>
      <w:spacing w:line="312" w:lineRule="auto"/>
    </w:pPr>
    <w:rPr>
      <w:rFonts w:ascii="Helvetica" w:hAnsi="Helvetica"/>
      <w:lang w:val="de-DE" w:eastAsia="de-DE"/>
    </w:rPr>
  </w:style>
  <w:style w:type="paragraph" w:styleId="berschrift2">
    <w:name w:val="heading 2"/>
    <w:basedOn w:val="Standard"/>
    <w:next w:val="Standard"/>
    <w:link w:val="berschrift2Zeichen"/>
    <w:uiPriority w:val="9"/>
    <w:qFormat/>
    <w:rsid w:val="00653F95"/>
    <w:pPr>
      <w:pBdr>
        <w:top w:val="single" w:sz="24" w:space="0" w:color="DBE5F1"/>
        <w:left w:val="single" w:sz="24" w:space="0" w:color="DBE5F1"/>
        <w:bottom w:val="single" w:sz="24" w:space="0" w:color="DBE5F1"/>
        <w:right w:val="single" w:sz="24" w:space="0" w:color="DBE5F1"/>
      </w:pBdr>
      <w:shd w:val="clear" w:color="auto" w:fill="DBE5F1"/>
      <w:spacing w:before="200" w:line="276" w:lineRule="auto"/>
      <w:outlineLvl w:val="1"/>
    </w:pPr>
    <w:rPr>
      <w:rFonts w:ascii="Cambria" w:hAnsi="Cambria"/>
      <w:noProof/>
      <w:spacing w:val="15"/>
      <w:sz w:val="22"/>
      <w:szCs w:val="22"/>
      <w:lang w:val="de-AT" w:eastAsia="en-US" w:bidi="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rsid w:val="00A3183C"/>
    <w:pPr>
      <w:tabs>
        <w:tab w:val="center" w:pos="4536"/>
        <w:tab w:val="right" w:pos="9072"/>
      </w:tabs>
    </w:pPr>
  </w:style>
  <w:style w:type="paragraph" w:styleId="Fuzeile">
    <w:name w:val="footer"/>
    <w:basedOn w:val="Standard"/>
    <w:link w:val="FuzeileZeichen"/>
    <w:uiPriority w:val="99"/>
    <w:rsid w:val="00A3183C"/>
    <w:pPr>
      <w:tabs>
        <w:tab w:val="center" w:pos="4536"/>
        <w:tab w:val="right" w:pos="9072"/>
      </w:tabs>
    </w:pPr>
    <w:rPr>
      <w:sz w:val="22"/>
    </w:rPr>
  </w:style>
  <w:style w:type="paragraph" w:styleId="Textkrper">
    <w:name w:val="Body Text"/>
    <w:basedOn w:val="Standard"/>
    <w:link w:val="TextkrperZeichen"/>
    <w:rsid w:val="00977B8E"/>
    <w:rPr>
      <w:b/>
      <w:sz w:val="22"/>
      <w:szCs w:val="22"/>
    </w:rPr>
  </w:style>
  <w:style w:type="character" w:styleId="Link">
    <w:name w:val="Hyperlink"/>
    <w:rsid w:val="00977B8E"/>
    <w:rPr>
      <w:color w:val="0000FF"/>
      <w:u w:val="single"/>
    </w:rPr>
  </w:style>
  <w:style w:type="paragraph" w:styleId="Sprechblasentext">
    <w:name w:val="Balloon Text"/>
    <w:basedOn w:val="Standard"/>
    <w:semiHidden/>
    <w:rsid w:val="00977B8E"/>
    <w:rPr>
      <w:rFonts w:ascii="Lucida Grande" w:hAnsi="Lucida Grande"/>
      <w:sz w:val="18"/>
      <w:szCs w:val="18"/>
    </w:rPr>
  </w:style>
  <w:style w:type="character" w:customStyle="1" w:styleId="TextkrperZeichen">
    <w:name w:val="Textkörper Zeichen"/>
    <w:link w:val="Textkrper"/>
    <w:rsid w:val="00AA7AD1"/>
    <w:rPr>
      <w:rFonts w:ascii="Helvetica" w:hAnsi="Helvetica"/>
      <w:b/>
      <w:sz w:val="22"/>
      <w:szCs w:val="22"/>
    </w:rPr>
  </w:style>
  <w:style w:type="character" w:customStyle="1" w:styleId="FuzeileZeichen">
    <w:name w:val="Fußzeile Zeichen"/>
    <w:link w:val="Fuzeile"/>
    <w:uiPriority w:val="99"/>
    <w:rsid w:val="007636C7"/>
    <w:rPr>
      <w:rFonts w:ascii="Helvetica" w:hAnsi="Helvetica"/>
      <w:sz w:val="22"/>
    </w:rPr>
  </w:style>
  <w:style w:type="paragraph" w:styleId="Dokumentstruktur">
    <w:name w:val="Document Map"/>
    <w:basedOn w:val="Standard"/>
    <w:semiHidden/>
    <w:rsid w:val="00F939ED"/>
    <w:pPr>
      <w:shd w:val="clear" w:color="auto" w:fill="000080"/>
    </w:pPr>
    <w:rPr>
      <w:rFonts w:ascii="Tahoma" w:hAnsi="Tahoma" w:cs="Tahoma"/>
    </w:rPr>
  </w:style>
  <w:style w:type="character" w:styleId="Kommentarzeichen">
    <w:name w:val="annotation reference"/>
    <w:rsid w:val="0069331F"/>
    <w:rPr>
      <w:sz w:val="18"/>
      <w:szCs w:val="18"/>
    </w:rPr>
  </w:style>
  <w:style w:type="paragraph" w:styleId="Kommentartext">
    <w:name w:val="annotation text"/>
    <w:basedOn w:val="Standard"/>
    <w:link w:val="KommentartextZeichen"/>
    <w:rsid w:val="0069331F"/>
    <w:rPr>
      <w:sz w:val="24"/>
      <w:szCs w:val="24"/>
    </w:rPr>
  </w:style>
  <w:style w:type="character" w:customStyle="1" w:styleId="KommentartextZeichen">
    <w:name w:val="Kommentartext Zeichen"/>
    <w:link w:val="Kommentartext"/>
    <w:rsid w:val="0069331F"/>
    <w:rPr>
      <w:rFonts w:ascii="Helvetica" w:hAnsi="Helvetica"/>
      <w:sz w:val="24"/>
      <w:szCs w:val="24"/>
    </w:rPr>
  </w:style>
  <w:style w:type="paragraph" w:styleId="Kommentarthema">
    <w:name w:val="annotation subject"/>
    <w:basedOn w:val="Kommentartext"/>
    <w:next w:val="Kommentartext"/>
    <w:link w:val="KommentarthemaZeichen"/>
    <w:rsid w:val="0069331F"/>
    <w:rPr>
      <w:b/>
      <w:bCs/>
    </w:rPr>
  </w:style>
  <w:style w:type="character" w:customStyle="1" w:styleId="KommentarthemaZeichen">
    <w:name w:val="Kommentarthema Zeichen"/>
    <w:link w:val="Kommentarthema"/>
    <w:rsid w:val="0069331F"/>
    <w:rPr>
      <w:rFonts w:ascii="Helvetica" w:hAnsi="Helvetica"/>
      <w:b/>
      <w:bCs/>
      <w:sz w:val="24"/>
      <w:szCs w:val="24"/>
    </w:rPr>
  </w:style>
  <w:style w:type="character" w:customStyle="1" w:styleId="berschrift2Zeichen">
    <w:name w:val="Überschrift 2 Zeichen"/>
    <w:link w:val="berschrift2"/>
    <w:uiPriority w:val="9"/>
    <w:rsid w:val="00653F95"/>
    <w:rPr>
      <w:rFonts w:ascii="Cambria" w:eastAsia="Times New Roman" w:hAnsi="Cambria" w:cs="Times New Roman"/>
      <w:noProof/>
      <w:spacing w:val="15"/>
      <w:sz w:val="22"/>
      <w:szCs w:val="22"/>
      <w:shd w:val="clear" w:color="auto" w:fill="DBE5F1"/>
      <w:lang w:val="de-AT" w:eastAsia="en-US" w:bidi="en-US"/>
    </w:rPr>
  </w:style>
  <w:style w:type="paragraph" w:customStyle="1" w:styleId="FarbigeListe-Akzent11">
    <w:name w:val="Farbige Liste - Akzent 11"/>
    <w:basedOn w:val="Standard"/>
    <w:uiPriority w:val="34"/>
    <w:qFormat/>
    <w:rsid w:val="0022749F"/>
    <w:pPr>
      <w:spacing w:before="200" w:after="200" w:line="276" w:lineRule="auto"/>
      <w:ind w:left="720"/>
      <w:contextualSpacing/>
    </w:pPr>
    <w:rPr>
      <w:rFonts w:ascii="Cambria" w:hAnsi="Cambria"/>
      <w:noProof/>
      <w:lang w:val="de-AT" w:eastAsia="en-US" w:bidi="en-US"/>
    </w:rPr>
  </w:style>
  <w:style w:type="paragraph" w:styleId="Titel">
    <w:name w:val="Title"/>
    <w:basedOn w:val="Standard"/>
    <w:next w:val="Standard"/>
    <w:link w:val="TitelZeichen"/>
    <w:uiPriority w:val="10"/>
    <w:qFormat/>
    <w:rsid w:val="00400B6E"/>
    <w:pPr>
      <w:spacing w:before="720" w:after="200" w:line="276" w:lineRule="auto"/>
    </w:pPr>
    <w:rPr>
      <w:rFonts w:ascii="Cambria" w:hAnsi="Cambria"/>
      <w:caps/>
      <w:noProof/>
      <w:color w:val="4F81BD"/>
      <w:spacing w:val="10"/>
      <w:kern w:val="28"/>
      <w:sz w:val="52"/>
      <w:szCs w:val="52"/>
      <w:lang w:val="de-AT" w:eastAsia="en-US" w:bidi="en-US"/>
    </w:rPr>
  </w:style>
  <w:style w:type="character" w:customStyle="1" w:styleId="TitelZeichen">
    <w:name w:val="Titel Zeichen"/>
    <w:link w:val="Titel"/>
    <w:uiPriority w:val="10"/>
    <w:rsid w:val="00400B6E"/>
    <w:rPr>
      <w:rFonts w:ascii="Cambria" w:eastAsia="Times New Roman" w:hAnsi="Cambria" w:cs="Times New Roman"/>
      <w:caps/>
      <w:noProof/>
      <w:color w:val="4F81BD"/>
      <w:spacing w:val="10"/>
      <w:kern w:val="28"/>
      <w:sz w:val="52"/>
      <w:szCs w:val="52"/>
      <w:lang w:val="de-AT" w:eastAsia="en-US" w:bidi="en-US"/>
    </w:rPr>
  </w:style>
</w:styles>
</file>

<file path=word/webSettings.xml><?xml version="1.0" encoding="utf-8"?>
<w:webSettings xmlns:r="http://schemas.openxmlformats.org/officeDocument/2006/relationships" xmlns:w="http://schemas.openxmlformats.org/wordprocessingml/2006/main">
  <w:divs>
    <w:div w:id="212920202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4A18A-B0C6-C446-BB22-3A9C2F81E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1012</Words>
  <Characters>5772</Characters>
  <Application>Microsoft Macintosh Word</Application>
  <DocSecurity>0</DocSecurity>
  <Lines>48</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Press'n'Relations GmbH</Company>
  <LinksUpToDate>false</LinksUpToDate>
  <CharactersWithSpaces>7088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cp:lastModifiedBy>Barbara</cp:lastModifiedBy>
  <cp:revision>8</cp:revision>
  <cp:lastPrinted>2012-02-28T13:24:00Z</cp:lastPrinted>
  <dcterms:created xsi:type="dcterms:W3CDTF">2012-02-28T12:11:00Z</dcterms:created>
  <dcterms:modified xsi:type="dcterms:W3CDTF">2012-02-28T13:34:00Z</dcterms:modified>
</cp:coreProperties>
</file>