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7D7F" w:rsidRPr="00A82C1D" w:rsidRDefault="00E92C2F" w:rsidP="005A22B2">
      <w:pPr>
        <w:pStyle w:val="Dokumentberschrift"/>
        <w:tabs>
          <w:tab w:val="right" w:pos="9923"/>
        </w:tabs>
        <w:rPr>
          <w:rFonts w:ascii="Noto Sans" w:hAnsi="Noto Sans"/>
        </w:rPr>
      </w:pPr>
      <w:sdt>
        <w:sdtPr>
          <w:rPr>
            <w:rFonts w:ascii="Noto Sans" w:hAnsi="Noto Sans"/>
          </w:rPr>
          <w:id w:val="193655316"/>
          <w:placeholder>
            <w:docPart w:val="EDD0B74C49D54C3A96A4F7334856AAC8"/>
          </w:placeholder>
        </w:sdtPr>
        <w:sdtContent>
          <w:r w:rsidR="002A4CFD">
            <w:rPr>
              <w:rFonts w:ascii="Noto Sans" w:hAnsi="Noto Sans"/>
            </w:rPr>
            <w:t>Press</w:t>
          </w:r>
          <w:r w:rsidR="00E82AD3">
            <w:rPr>
              <w:rFonts w:ascii="Noto Sans" w:hAnsi="Noto Sans"/>
            </w:rPr>
            <w:t>einformation der 2G Energy AG</w:t>
          </w:r>
          <w:r w:rsidR="00E82AD3">
            <w:rPr>
              <w:rFonts w:ascii="Noto Sans" w:hAnsi="Noto Sans"/>
            </w:rPr>
            <w:tab/>
            <w:t>27</w:t>
          </w:r>
          <w:r w:rsidR="002A4CFD">
            <w:rPr>
              <w:rFonts w:ascii="Noto Sans" w:hAnsi="Noto Sans"/>
            </w:rPr>
            <w:t>.0</w:t>
          </w:r>
          <w:r w:rsidR="00EB1E1F">
            <w:rPr>
              <w:rFonts w:ascii="Noto Sans" w:hAnsi="Noto Sans"/>
            </w:rPr>
            <w:t>4</w:t>
          </w:r>
          <w:r w:rsidR="002A4CFD">
            <w:rPr>
              <w:rFonts w:ascii="Noto Sans" w:hAnsi="Noto Sans"/>
            </w:rPr>
            <w:t>.2015</w:t>
          </w:r>
        </w:sdtContent>
      </w:sdt>
      <w:r w:rsidR="005A22B2">
        <w:rPr>
          <w:rFonts w:ascii="Noto Sans" w:hAnsi="Noto Sans"/>
        </w:rPr>
        <w:tab/>
      </w:r>
    </w:p>
    <w:p w:rsidR="004622B6" w:rsidRDefault="00C0783B" w:rsidP="00EB1E1F">
      <w:pPr>
        <w:pStyle w:val="Standardtext"/>
        <w:spacing w:after="360"/>
        <w:ind w:left="0"/>
        <w:jc w:val="left"/>
        <w:rPr>
          <w:b/>
          <w:sz w:val="28"/>
        </w:rPr>
      </w:pPr>
      <w:r>
        <w:rPr>
          <w:b/>
          <w:sz w:val="28"/>
        </w:rPr>
        <w:t xml:space="preserve">2G Energy AG </w:t>
      </w:r>
      <w:r w:rsidR="00461D1C">
        <w:rPr>
          <w:b/>
          <w:sz w:val="28"/>
        </w:rPr>
        <w:t xml:space="preserve">trotz </w:t>
      </w:r>
      <w:r w:rsidR="00EA6E2E">
        <w:rPr>
          <w:b/>
          <w:sz w:val="28"/>
        </w:rPr>
        <w:t xml:space="preserve">herausfordernder </w:t>
      </w:r>
      <w:r w:rsidR="00461D1C">
        <w:rPr>
          <w:b/>
          <w:sz w:val="28"/>
        </w:rPr>
        <w:t>Marktbedingungen</w:t>
      </w:r>
      <w:r w:rsidR="00B832A0">
        <w:rPr>
          <w:b/>
          <w:sz w:val="28"/>
        </w:rPr>
        <w:t xml:space="preserve"> </w:t>
      </w:r>
      <w:r>
        <w:rPr>
          <w:b/>
          <w:sz w:val="28"/>
        </w:rPr>
        <w:t xml:space="preserve">in der Erfolgsspur  </w:t>
      </w:r>
    </w:p>
    <w:p w:rsidR="004622B6" w:rsidRDefault="00351F8A" w:rsidP="00EB1E1F">
      <w:pPr>
        <w:pStyle w:val="Standardtext"/>
        <w:spacing w:after="600"/>
        <w:ind w:left="0"/>
        <w:jc w:val="left"/>
        <w:rPr>
          <w:b/>
          <w:sz w:val="28"/>
        </w:rPr>
      </w:pPr>
      <w:r>
        <w:rPr>
          <w:b/>
          <w:sz w:val="28"/>
        </w:rPr>
        <w:t xml:space="preserve">Technologieführerschaft </w:t>
      </w:r>
      <w:r w:rsidR="00C0783B">
        <w:rPr>
          <w:b/>
          <w:sz w:val="28"/>
        </w:rPr>
        <w:t xml:space="preserve">gekoppelt mit Gesamtlösungskompetenz für Industrie und Energiewirtschaft </w:t>
      </w:r>
      <w:bookmarkStart w:id="0" w:name="_GoBack"/>
      <w:bookmarkEnd w:id="0"/>
    </w:p>
    <w:p w:rsidR="004C327B" w:rsidRDefault="006B4C18" w:rsidP="009005B4">
      <w:pPr>
        <w:spacing w:before="100" w:beforeAutospacing="1" w:after="100" w:afterAutospacing="1" w:line="240" w:lineRule="auto"/>
        <w:ind w:left="0"/>
        <w:jc w:val="both"/>
        <w:rPr>
          <w:rFonts w:ascii="Noto Sans" w:eastAsia="Times New Roman" w:hAnsi="Noto Sans" w:cs="Arial"/>
          <w:szCs w:val="20"/>
          <w:lang w:eastAsia="de-DE"/>
        </w:rPr>
      </w:pPr>
      <w:r>
        <w:rPr>
          <w:rFonts w:ascii="Noto Sans" w:eastAsia="Times New Roman" w:hAnsi="Noto Sans" w:cs="Arial"/>
          <w:szCs w:val="20"/>
          <w:lang w:eastAsia="de-DE"/>
        </w:rPr>
        <w:t>Heek</w:t>
      </w:r>
      <w:r w:rsidR="004622B6" w:rsidRPr="00C30D06">
        <w:rPr>
          <w:rFonts w:ascii="Noto Sans" w:eastAsia="Times New Roman" w:hAnsi="Noto Sans" w:cs="Arial"/>
          <w:szCs w:val="20"/>
          <w:lang w:eastAsia="de-DE"/>
        </w:rPr>
        <w:t xml:space="preserve">, </w:t>
      </w:r>
      <w:r w:rsidR="00EA6E2E">
        <w:rPr>
          <w:rFonts w:ascii="Noto Sans" w:eastAsia="Times New Roman" w:hAnsi="Noto Sans" w:cs="Arial"/>
          <w:szCs w:val="20"/>
          <w:lang w:eastAsia="de-DE"/>
        </w:rPr>
        <w:t>27</w:t>
      </w:r>
      <w:r w:rsidR="004622B6" w:rsidRPr="00C30D06">
        <w:rPr>
          <w:rFonts w:ascii="Noto Sans" w:eastAsia="Times New Roman" w:hAnsi="Noto Sans" w:cs="Arial"/>
          <w:szCs w:val="20"/>
          <w:lang w:eastAsia="de-DE"/>
        </w:rPr>
        <w:t xml:space="preserve">. </w:t>
      </w:r>
      <w:r w:rsidR="009D5FAB">
        <w:rPr>
          <w:rFonts w:ascii="Noto Sans" w:eastAsia="Times New Roman" w:hAnsi="Noto Sans" w:cs="Arial"/>
          <w:szCs w:val="20"/>
          <w:lang w:eastAsia="de-DE"/>
        </w:rPr>
        <w:t xml:space="preserve">April </w:t>
      </w:r>
      <w:r w:rsidR="004622B6" w:rsidRPr="00C30D06">
        <w:rPr>
          <w:rFonts w:ascii="Noto Sans" w:eastAsia="Times New Roman" w:hAnsi="Noto Sans" w:cs="Arial"/>
          <w:szCs w:val="20"/>
          <w:lang w:eastAsia="de-DE"/>
        </w:rPr>
        <w:t xml:space="preserve">2015 </w:t>
      </w:r>
      <w:r w:rsidR="009D5FAB">
        <w:rPr>
          <w:rFonts w:ascii="Noto Sans" w:eastAsia="Times New Roman" w:hAnsi="Noto Sans" w:cs="Arial"/>
          <w:szCs w:val="20"/>
          <w:lang w:eastAsia="de-DE"/>
        </w:rPr>
        <w:t>–</w:t>
      </w:r>
      <w:r w:rsidR="004622B6" w:rsidRPr="00C30D06">
        <w:rPr>
          <w:rFonts w:ascii="Noto Sans" w:eastAsia="Times New Roman" w:hAnsi="Noto Sans" w:cs="Arial"/>
          <w:szCs w:val="20"/>
          <w:lang w:eastAsia="de-DE"/>
        </w:rPr>
        <w:t xml:space="preserve"> </w:t>
      </w:r>
      <w:r w:rsidR="00B832A0">
        <w:rPr>
          <w:rFonts w:ascii="Noto Sans" w:eastAsia="Times New Roman" w:hAnsi="Noto Sans" w:cs="Arial"/>
          <w:szCs w:val="20"/>
          <w:lang w:eastAsia="de-DE"/>
        </w:rPr>
        <w:t>Auf der Hannover Messe bezog Christian Grotholt, Vorstandsvorsitzend</w:t>
      </w:r>
      <w:r w:rsidR="002E0229">
        <w:rPr>
          <w:rFonts w:ascii="Noto Sans" w:eastAsia="Times New Roman" w:hAnsi="Noto Sans" w:cs="Arial"/>
          <w:szCs w:val="20"/>
          <w:lang w:eastAsia="de-DE"/>
        </w:rPr>
        <w:t>er (CEO) des KWK-Anlagenherstellers (Kraft-Wärme-Kopplung</w:t>
      </w:r>
      <w:r w:rsidR="00B832A0">
        <w:rPr>
          <w:rFonts w:ascii="Noto Sans" w:eastAsia="Times New Roman" w:hAnsi="Noto Sans" w:cs="Arial"/>
          <w:szCs w:val="20"/>
          <w:lang w:eastAsia="de-DE"/>
        </w:rPr>
        <w:t xml:space="preserve">) 2G Energy AG mit Sitz in Heek, Position zu den </w:t>
      </w:r>
      <w:r w:rsidR="009D5FAB">
        <w:rPr>
          <w:rFonts w:ascii="Noto Sans" w:eastAsia="Times New Roman" w:hAnsi="Noto Sans" w:cs="Arial"/>
          <w:szCs w:val="20"/>
          <w:lang w:eastAsia="de-DE"/>
        </w:rPr>
        <w:t>politische</w:t>
      </w:r>
      <w:r w:rsidR="00B832A0">
        <w:rPr>
          <w:rFonts w:ascii="Noto Sans" w:eastAsia="Times New Roman" w:hAnsi="Noto Sans" w:cs="Arial"/>
          <w:szCs w:val="20"/>
          <w:lang w:eastAsia="de-DE"/>
        </w:rPr>
        <w:t>n Rahmenbedingungen für das Geschäft mit BHKW</w:t>
      </w:r>
      <w:r w:rsidR="00461D1C">
        <w:rPr>
          <w:rFonts w:ascii="Noto Sans" w:eastAsia="Times New Roman" w:hAnsi="Noto Sans" w:cs="Arial"/>
          <w:szCs w:val="20"/>
          <w:lang w:eastAsia="de-DE"/>
        </w:rPr>
        <w:t xml:space="preserve"> und zur Geschäftsentwicklung</w:t>
      </w:r>
      <w:r w:rsidR="00B832A0">
        <w:rPr>
          <w:rFonts w:ascii="Noto Sans" w:eastAsia="Times New Roman" w:hAnsi="Noto Sans" w:cs="Arial"/>
          <w:szCs w:val="20"/>
          <w:lang w:eastAsia="de-DE"/>
        </w:rPr>
        <w:t>: „</w:t>
      </w:r>
      <w:r w:rsidR="00021A95">
        <w:rPr>
          <w:rFonts w:ascii="Noto Sans" w:eastAsia="Times New Roman" w:hAnsi="Noto Sans" w:cs="Arial"/>
          <w:szCs w:val="20"/>
          <w:lang w:eastAsia="de-DE"/>
        </w:rPr>
        <w:t>Trotz unsicherer Investitionsbedingungen für KWK-Anlagenbetreiber – bedingt durch kurzfristig veränderte und teilweise widersprüchliche pol</w:t>
      </w:r>
      <w:r w:rsidR="00461D1C">
        <w:rPr>
          <w:rFonts w:ascii="Noto Sans" w:eastAsia="Times New Roman" w:hAnsi="Noto Sans" w:cs="Arial"/>
          <w:szCs w:val="20"/>
          <w:lang w:eastAsia="de-DE"/>
        </w:rPr>
        <w:t>itische Rahmenbedingungen –  konnte</w:t>
      </w:r>
      <w:r w:rsidR="00021A95">
        <w:rPr>
          <w:rFonts w:ascii="Noto Sans" w:eastAsia="Times New Roman" w:hAnsi="Noto Sans" w:cs="Arial"/>
          <w:szCs w:val="20"/>
          <w:lang w:eastAsia="de-DE"/>
        </w:rPr>
        <w:t xml:space="preserve"> die 2G Energy AG für das let</w:t>
      </w:r>
      <w:r w:rsidR="00461D1C">
        <w:rPr>
          <w:rFonts w:ascii="Noto Sans" w:eastAsia="Times New Roman" w:hAnsi="Noto Sans" w:cs="Arial"/>
          <w:szCs w:val="20"/>
          <w:lang w:eastAsia="de-DE"/>
        </w:rPr>
        <w:t>zte Jahr die Prognosen bestätigen</w:t>
      </w:r>
      <w:r w:rsidR="00021A95">
        <w:rPr>
          <w:rFonts w:ascii="Noto Sans" w:eastAsia="Times New Roman" w:hAnsi="Noto Sans" w:cs="Arial"/>
          <w:szCs w:val="20"/>
          <w:lang w:eastAsia="de-DE"/>
        </w:rPr>
        <w:t>. Damit hat die 2G wieder unte</w:t>
      </w:r>
      <w:r w:rsidR="00D57E7D">
        <w:rPr>
          <w:rFonts w:ascii="Noto Sans" w:eastAsia="Times New Roman" w:hAnsi="Noto Sans" w:cs="Arial"/>
          <w:szCs w:val="20"/>
          <w:lang w:eastAsia="de-DE"/>
        </w:rPr>
        <w:t>r Beweis gestellt, dass sie sich flexibel auf Veränderungen in</w:t>
      </w:r>
      <w:r w:rsidR="00021A95">
        <w:rPr>
          <w:rFonts w:ascii="Noto Sans" w:eastAsia="Times New Roman" w:hAnsi="Noto Sans" w:cs="Arial"/>
          <w:szCs w:val="20"/>
          <w:lang w:eastAsia="de-DE"/>
        </w:rPr>
        <w:t xml:space="preserve"> </w:t>
      </w:r>
      <w:r w:rsidR="00D57E7D">
        <w:rPr>
          <w:rFonts w:ascii="Noto Sans" w:eastAsia="Times New Roman" w:hAnsi="Noto Sans" w:cs="Arial"/>
          <w:szCs w:val="20"/>
          <w:lang w:eastAsia="de-DE"/>
        </w:rPr>
        <w:t xml:space="preserve">ihren </w:t>
      </w:r>
      <w:r w:rsidR="00021A95">
        <w:rPr>
          <w:rFonts w:ascii="Noto Sans" w:eastAsia="Times New Roman" w:hAnsi="Noto Sans" w:cs="Arial"/>
          <w:szCs w:val="20"/>
          <w:lang w:eastAsia="de-DE"/>
        </w:rPr>
        <w:t>Märkte</w:t>
      </w:r>
      <w:r w:rsidR="00D57E7D">
        <w:rPr>
          <w:rFonts w:ascii="Noto Sans" w:eastAsia="Times New Roman" w:hAnsi="Noto Sans" w:cs="Arial"/>
          <w:szCs w:val="20"/>
          <w:lang w:eastAsia="de-DE"/>
        </w:rPr>
        <w:t>n</w:t>
      </w:r>
      <w:r w:rsidR="00021A95">
        <w:rPr>
          <w:rFonts w:ascii="Noto Sans" w:eastAsia="Times New Roman" w:hAnsi="Noto Sans" w:cs="Arial"/>
          <w:szCs w:val="20"/>
          <w:lang w:eastAsia="de-DE"/>
        </w:rPr>
        <w:t xml:space="preserve"> einstellen kann.“ </w:t>
      </w:r>
      <w:r w:rsidR="004C327B">
        <w:rPr>
          <w:rFonts w:ascii="Noto Sans" w:eastAsia="Times New Roman" w:hAnsi="Noto Sans" w:cs="Arial"/>
          <w:szCs w:val="20"/>
          <w:lang w:eastAsia="de-DE"/>
        </w:rPr>
        <w:t xml:space="preserve">Grotholt bestätigte die Prognosen, wonach im </w:t>
      </w:r>
      <w:r w:rsidR="00021A95">
        <w:rPr>
          <w:rFonts w:ascii="Noto Sans" w:eastAsia="Times New Roman" w:hAnsi="Noto Sans" w:cs="Arial"/>
          <w:szCs w:val="20"/>
          <w:lang w:eastAsia="de-DE"/>
        </w:rPr>
        <w:t xml:space="preserve">Jahr 2014 </w:t>
      </w:r>
      <w:r w:rsidR="004C327B">
        <w:rPr>
          <w:rFonts w:ascii="Noto Sans" w:eastAsia="Times New Roman" w:hAnsi="Noto Sans" w:cs="Arial"/>
          <w:szCs w:val="20"/>
          <w:lang w:eastAsia="de-DE"/>
        </w:rPr>
        <w:t>ein Umsatz</w:t>
      </w:r>
      <w:r w:rsidR="00021A95">
        <w:rPr>
          <w:rFonts w:ascii="Noto Sans" w:eastAsia="Times New Roman" w:hAnsi="Noto Sans" w:cs="Arial"/>
          <w:szCs w:val="20"/>
          <w:lang w:eastAsia="de-DE"/>
        </w:rPr>
        <w:t xml:space="preserve"> von über 165 Millionen Euro nach 126,1 Millionen Euro im Vorjahr erreicht wird. Dies drückt sich</w:t>
      </w:r>
      <w:r w:rsidR="004C327B">
        <w:rPr>
          <w:rFonts w:ascii="Noto Sans" w:eastAsia="Times New Roman" w:hAnsi="Noto Sans" w:cs="Arial"/>
          <w:szCs w:val="20"/>
          <w:lang w:eastAsia="de-DE"/>
        </w:rPr>
        <w:t xml:space="preserve"> auch in einem für 2014 prognostizierten </w:t>
      </w:r>
      <w:r w:rsidR="00021A95">
        <w:rPr>
          <w:rFonts w:ascii="Noto Sans" w:eastAsia="Times New Roman" w:hAnsi="Noto Sans" w:cs="Arial"/>
          <w:szCs w:val="20"/>
          <w:lang w:eastAsia="de-DE"/>
        </w:rPr>
        <w:t>Ergebnis (EBIT) von über</w:t>
      </w:r>
      <w:r w:rsidR="004C327B">
        <w:rPr>
          <w:rFonts w:ascii="Noto Sans" w:eastAsia="Times New Roman" w:hAnsi="Noto Sans" w:cs="Arial"/>
          <w:szCs w:val="20"/>
          <w:lang w:eastAsia="de-DE"/>
        </w:rPr>
        <w:t xml:space="preserve"> 10 Millionen </w:t>
      </w:r>
      <w:r w:rsidR="00021A95">
        <w:rPr>
          <w:rFonts w:ascii="Noto Sans" w:eastAsia="Times New Roman" w:hAnsi="Noto Sans" w:cs="Arial"/>
          <w:szCs w:val="20"/>
          <w:lang w:eastAsia="de-DE"/>
        </w:rPr>
        <w:t xml:space="preserve">nach 3,2 Millionen im Jahr 2013 aus. </w:t>
      </w:r>
    </w:p>
    <w:p w:rsidR="004F5475" w:rsidRDefault="004C327B" w:rsidP="009005B4">
      <w:pPr>
        <w:spacing w:before="100" w:beforeAutospacing="1" w:after="100" w:afterAutospacing="1" w:line="240" w:lineRule="auto"/>
        <w:ind w:left="0"/>
        <w:jc w:val="both"/>
        <w:rPr>
          <w:rFonts w:ascii="Noto Sans" w:eastAsia="Times New Roman" w:hAnsi="Noto Sans" w:cs="Arial"/>
          <w:szCs w:val="20"/>
          <w:lang w:eastAsia="de-DE"/>
        </w:rPr>
      </w:pPr>
      <w:r>
        <w:rPr>
          <w:rFonts w:ascii="Noto Sans" w:eastAsia="Times New Roman" w:hAnsi="Noto Sans" w:cs="Arial"/>
          <w:szCs w:val="20"/>
          <w:lang w:eastAsia="de-DE"/>
        </w:rPr>
        <w:t>Grotholt erläuterte weiter: „Diese positive wirtschaftlic</w:t>
      </w:r>
      <w:r w:rsidR="00461D1C">
        <w:rPr>
          <w:rFonts w:ascii="Noto Sans" w:eastAsia="Times New Roman" w:hAnsi="Noto Sans" w:cs="Arial"/>
          <w:szCs w:val="20"/>
          <w:lang w:eastAsia="de-DE"/>
        </w:rPr>
        <w:t>he Entwicklung verdanken wir unter anderem unserer</w:t>
      </w:r>
      <w:r>
        <w:rPr>
          <w:rFonts w:ascii="Noto Sans" w:eastAsia="Times New Roman" w:hAnsi="Noto Sans" w:cs="Arial"/>
          <w:szCs w:val="20"/>
          <w:lang w:eastAsia="de-DE"/>
        </w:rPr>
        <w:t xml:space="preserve"> rechtzeitigen Reaktion auf einen Nachfragerückgang bei Biogas-BHKW und der strategischen Expansion in das Ausland. Der erwartete Trend steigender Erdgasanwendungen</w:t>
      </w:r>
      <w:r w:rsidR="004F5475">
        <w:rPr>
          <w:rFonts w:ascii="Noto Sans" w:eastAsia="Times New Roman" w:hAnsi="Noto Sans" w:cs="Arial"/>
          <w:szCs w:val="20"/>
          <w:lang w:eastAsia="de-DE"/>
        </w:rPr>
        <w:t xml:space="preserve"> hat dazu geführt, dass </w:t>
      </w:r>
      <w:r w:rsidR="00E501EC">
        <w:rPr>
          <w:rFonts w:ascii="Noto Sans" w:eastAsia="Times New Roman" w:hAnsi="Noto Sans" w:cs="Arial"/>
          <w:szCs w:val="20"/>
          <w:lang w:eastAsia="de-DE"/>
        </w:rPr>
        <w:t xml:space="preserve">2G </w:t>
      </w:r>
      <w:r w:rsidR="004F5475">
        <w:rPr>
          <w:rFonts w:ascii="Noto Sans" w:eastAsia="Times New Roman" w:hAnsi="Noto Sans" w:cs="Arial"/>
          <w:szCs w:val="20"/>
          <w:lang w:eastAsia="de-DE"/>
        </w:rPr>
        <w:t xml:space="preserve">inzwischen rund 55 Prozent des Umsatzes mit Erdgas-BHKW erzielt. Die steigende Internationalität des Geschäfts drückt </w:t>
      </w:r>
      <w:r w:rsidR="00351F8A">
        <w:rPr>
          <w:rFonts w:ascii="Noto Sans" w:eastAsia="Times New Roman" w:hAnsi="Noto Sans" w:cs="Arial"/>
          <w:szCs w:val="20"/>
          <w:lang w:eastAsia="de-DE"/>
        </w:rPr>
        <w:t xml:space="preserve">sich </w:t>
      </w:r>
      <w:r w:rsidR="004F5475">
        <w:rPr>
          <w:rFonts w:ascii="Noto Sans" w:eastAsia="Times New Roman" w:hAnsi="Noto Sans" w:cs="Arial"/>
          <w:szCs w:val="20"/>
          <w:lang w:eastAsia="de-DE"/>
        </w:rPr>
        <w:t>im Auslandsanteil von 26 Prozent nach 22 Prozent im Vorjahr aus.“</w:t>
      </w:r>
    </w:p>
    <w:p w:rsidR="009005B4" w:rsidRDefault="00461D1C" w:rsidP="009005B4">
      <w:pPr>
        <w:spacing w:before="100" w:beforeAutospacing="1" w:after="100" w:afterAutospacing="1" w:line="240" w:lineRule="auto"/>
        <w:ind w:left="0"/>
        <w:jc w:val="both"/>
        <w:rPr>
          <w:rFonts w:ascii="Noto Sans" w:eastAsia="Times New Roman" w:hAnsi="Noto Sans" w:cs="Arial"/>
          <w:szCs w:val="20"/>
          <w:lang w:eastAsia="de-DE"/>
        </w:rPr>
      </w:pPr>
      <w:r>
        <w:rPr>
          <w:rFonts w:ascii="Noto Sans" w:eastAsia="Times New Roman" w:hAnsi="Noto Sans" w:cs="Arial"/>
          <w:szCs w:val="20"/>
          <w:lang w:eastAsia="de-DE"/>
        </w:rPr>
        <w:t xml:space="preserve">2G hat </w:t>
      </w:r>
      <w:r w:rsidR="0078103E">
        <w:rPr>
          <w:rFonts w:ascii="Noto Sans" w:eastAsia="Times New Roman" w:hAnsi="Noto Sans" w:cs="Arial"/>
          <w:szCs w:val="20"/>
          <w:lang w:eastAsia="de-DE"/>
        </w:rPr>
        <w:t xml:space="preserve">nach Einschätzung von Grotholt </w:t>
      </w:r>
      <w:r>
        <w:rPr>
          <w:rFonts w:ascii="Noto Sans" w:eastAsia="Times New Roman" w:hAnsi="Noto Sans" w:cs="Arial"/>
          <w:szCs w:val="20"/>
          <w:lang w:eastAsia="de-DE"/>
        </w:rPr>
        <w:t xml:space="preserve">die wirtschaftlich positive </w:t>
      </w:r>
      <w:r w:rsidR="0078103E">
        <w:rPr>
          <w:rFonts w:ascii="Noto Sans" w:eastAsia="Times New Roman" w:hAnsi="Noto Sans" w:cs="Arial"/>
          <w:szCs w:val="20"/>
          <w:lang w:eastAsia="de-DE"/>
        </w:rPr>
        <w:t>Unternehmensp</w:t>
      </w:r>
      <w:r>
        <w:rPr>
          <w:rFonts w:ascii="Noto Sans" w:eastAsia="Times New Roman" w:hAnsi="Noto Sans" w:cs="Arial"/>
          <w:szCs w:val="20"/>
          <w:lang w:eastAsia="de-DE"/>
        </w:rPr>
        <w:t xml:space="preserve">erspektive </w:t>
      </w:r>
      <w:r w:rsidR="0078103E">
        <w:rPr>
          <w:rFonts w:ascii="Noto Sans" w:eastAsia="Times New Roman" w:hAnsi="Noto Sans" w:cs="Arial"/>
          <w:szCs w:val="20"/>
          <w:lang w:eastAsia="de-DE"/>
        </w:rPr>
        <w:t xml:space="preserve">weiterhin </w:t>
      </w:r>
      <w:r>
        <w:rPr>
          <w:rFonts w:ascii="Noto Sans" w:eastAsia="Times New Roman" w:hAnsi="Noto Sans" w:cs="Arial"/>
          <w:szCs w:val="20"/>
          <w:lang w:eastAsia="de-DE"/>
        </w:rPr>
        <w:t>seinen Marktinitiativen im Bereich Vertrieb und Service sowie dem Aufgreifen des Markttrends zu komplexeren Gesamtlösungen für Industrie und Energi</w:t>
      </w:r>
      <w:r w:rsidR="0078103E">
        <w:rPr>
          <w:rFonts w:ascii="Noto Sans" w:eastAsia="Times New Roman" w:hAnsi="Noto Sans" w:cs="Arial"/>
          <w:szCs w:val="20"/>
          <w:lang w:eastAsia="de-DE"/>
        </w:rPr>
        <w:t>e</w:t>
      </w:r>
      <w:r>
        <w:rPr>
          <w:rFonts w:ascii="Noto Sans" w:eastAsia="Times New Roman" w:hAnsi="Noto Sans" w:cs="Arial"/>
          <w:szCs w:val="20"/>
          <w:lang w:eastAsia="de-DE"/>
        </w:rPr>
        <w:t>w</w:t>
      </w:r>
      <w:r w:rsidR="0078103E">
        <w:rPr>
          <w:rFonts w:ascii="Noto Sans" w:eastAsia="Times New Roman" w:hAnsi="Noto Sans" w:cs="Arial"/>
          <w:szCs w:val="20"/>
          <w:lang w:eastAsia="de-DE"/>
        </w:rPr>
        <w:t>ir</w:t>
      </w:r>
      <w:r>
        <w:rPr>
          <w:rFonts w:ascii="Noto Sans" w:eastAsia="Times New Roman" w:hAnsi="Noto Sans" w:cs="Arial"/>
          <w:szCs w:val="20"/>
          <w:lang w:eastAsia="de-DE"/>
        </w:rPr>
        <w:t>t</w:t>
      </w:r>
      <w:r w:rsidR="0078103E">
        <w:rPr>
          <w:rFonts w:ascii="Noto Sans" w:eastAsia="Times New Roman" w:hAnsi="Noto Sans" w:cs="Arial"/>
          <w:szCs w:val="20"/>
          <w:lang w:eastAsia="de-DE"/>
        </w:rPr>
        <w:t>s</w:t>
      </w:r>
      <w:r>
        <w:rPr>
          <w:rFonts w:ascii="Noto Sans" w:eastAsia="Times New Roman" w:hAnsi="Noto Sans" w:cs="Arial"/>
          <w:szCs w:val="20"/>
          <w:lang w:eastAsia="de-DE"/>
        </w:rPr>
        <w:t>chaft zu verdanken.</w:t>
      </w:r>
      <w:r w:rsidR="0078103E">
        <w:rPr>
          <w:rFonts w:ascii="Noto Sans" w:eastAsia="Times New Roman" w:hAnsi="Noto Sans" w:cs="Arial"/>
          <w:szCs w:val="20"/>
          <w:lang w:eastAsia="de-DE"/>
        </w:rPr>
        <w:t xml:space="preserve"> Auch den Ausbau der internationalen Präsenz in Zielmärkten zählt Grotholt zu den Eckpunkten für die Sicherung des Unternehmenserfolgs. Dazu gehört die 100-prozentige Übernahme des US-Geschäfts durch die Aufstockung der Gesellschafteranteile an der 2G Cenergy Inc., Florida, von 49 auf 100 Prozent. Mit der Neustrukturierung</w:t>
      </w:r>
      <w:r w:rsidR="007B00E3">
        <w:rPr>
          <w:rFonts w:ascii="Noto Sans" w:eastAsia="Times New Roman" w:hAnsi="Noto Sans" w:cs="Arial"/>
          <w:szCs w:val="20"/>
          <w:lang w:eastAsia="de-DE"/>
        </w:rPr>
        <w:t xml:space="preserve"> ist eine Verbreiterung der Vertriebsaktivitäten sowie eine Stärkung der Fertigung in der 100-prozentigen Tochtergesellschaft 2G Manufacturing Inc., St. Augustine, verbunden.  </w:t>
      </w:r>
      <w:r w:rsidR="0078103E">
        <w:rPr>
          <w:rFonts w:ascii="Noto Sans" w:eastAsia="Times New Roman" w:hAnsi="Noto Sans" w:cs="Arial"/>
          <w:szCs w:val="20"/>
          <w:lang w:eastAsia="de-DE"/>
        </w:rPr>
        <w:t xml:space="preserve"> </w:t>
      </w:r>
    </w:p>
    <w:p w:rsidR="009005B4" w:rsidRDefault="009005B4" w:rsidP="009005B4">
      <w:pPr>
        <w:spacing w:before="100" w:beforeAutospacing="1" w:after="100" w:afterAutospacing="1" w:line="240" w:lineRule="auto"/>
        <w:ind w:left="0"/>
        <w:jc w:val="both"/>
        <w:rPr>
          <w:rFonts w:ascii="Noto Sans" w:eastAsia="Times New Roman" w:hAnsi="Noto Sans" w:cs="Arial"/>
          <w:b/>
          <w:szCs w:val="20"/>
          <w:lang w:eastAsia="de-DE"/>
        </w:rPr>
      </w:pPr>
      <w:r w:rsidRPr="00582B3B">
        <w:rPr>
          <w:rFonts w:ascii="Noto Sans" w:eastAsia="Times New Roman" w:hAnsi="Noto Sans" w:cs="Arial"/>
          <w:b/>
          <w:szCs w:val="20"/>
          <w:lang w:eastAsia="de-DE"/>
        </w:rPr>
        <w:t>Technologieführerschaft drückt sich nicht nur in hohen Wirkungsgraden aus</w:t>
      </w:r>
    </w:p>
    <w:p w:rsidR="00461D1C" w:rsidRPr="009005B4" w:rsidRDefault="009005B4" w:rsidP="009005B4">
      <w:pPr>
        <w:spacing w:before="100" w:beforeAutospacing="1" w:after="100" w:afterAutospacing="1" w:line="240" w:lineRule="auto"/>
        <w:ind w:left="0"/>
        <w:jc w:val="both"/>
        <w:rPr>
          <w:rFonts w:ascii="Noto Sans" w:eastAsia="Times New Roman" w:hAnsi="Noto Sans" w:cs="Arial"/>
          <w:b/>
          <w:szCs w:val="20"/>
          <w:lang w:eastAsia="de-DE"/>
        </w:rPr>
      </w:pPr>
      <w:r>
        <w:rPr>
          <w:rFonts w:ascii="Noto Sans" w:eastAsia="Times New Roman" w:hAnsi="Noto Sans" w:cs="Arial"/>
          <w:szCs w:val="20"/>
          <w:lang w:eastAsia="de-DE"/>
        </w:rPr>
        <w:t xml:space="preserve">Grotholt nahm den Leitbegriff „Industrie 4.0“ der Hannover Messe im Zusammenhang mit den Weiterentwicklungen der Serviceprozesse bei 2G auf: „Wir sind mit dem verbesserten Service-Konzept dabei, das Schlagwort von der Industrie 4.0 mit Leben zu füllen.“ 2G hat durch die Entwicklungserfolge seines Tochterunternehmens 2G Drives GmbH in den letzten Jahren immer wieder den Standard ich Sachen elektrischer Wirkungsgrade in den Leistungsklassen von 250 bis 550 kW elektrischer Leistung gesetzt. Über die Wirtschaftlichkeit einer KWK-Anlage entscheidet aber nicht nur der Wirkungsgrad, sondern ganz wesentlich die Life-Cycle-Kosten. Dabei spielt der Anlagen-Service in hohem Maße eine Rolle, der über die Standard-Wartungsarbeiten hinausgeht. Bidirektionale Kommunikationstechnik und Analysesoftware macht es heute möglich, präventiv maschinelle Schäden und Betriebsausfälle zu vermeiden. Fehler- und Warnmeldungen sämtlicher Anlagen erscheinen unmittelbar auf der Leitwarte in Heek und versetzen 2G damit in die Lage, die </w:t>
      </w:r>
      <w:r>
        <w:rPr>
          <w:rFonts w:ascii="Noto Sans" w:eastAsia="Times New Roman" w:hAnsi="Noto Sans" w:cs="Arial"/>
          <w:szCs w:val="20"/>
          <w:lang w:eastAsia="de-DE"/>
        </w:rPr>
        <w:lastRenderedPageBreak/>
        <w:t xml:space="preserve">Anlage in kürzester Zeit per Fernstart zu reaktivieren oder nach entsprechender Online-Fehleranalyse einen Serviceeinsatz individuell zu planen.    </w:t>
      </w:r>
      <w:r w:rsidR="0078103E">
        <w:rPr>
          <w:rFonts w:ascii="Noto Sans" w:eastAsia="Times New Roman" w:hAnsi="Noto Sans" w:cs="Arial"/>
          <w:szCs w:val="20"/>
          <w:lang w:eastAsia="de-DE"/>
        </w:rPr>
        <w:t xml:space="preserve">      </w:t>
      </w:r>
      <w:r w:rsidR="00461D1C">
        <w:rPr>
          <w:rFonts w:ascii="Noto Sans" w:eastAsia="Times New Roman" w:hAnsi="Noto Sans" w:cs="Arial"/>
          <w:szCs w:val="20"/>
          <w:lang w:eastAsia="de-DE"/>
        </w:rPr>
        <w:t xml:space="preserve">  </w:t>
      </w:r>
    </w:p>
    <w:p w:rsidR="0078103E" w:rsidRPr="0078103E" w:rsidRDefault="0078103E" w:rsidP="009005B4">
      <w:pPr>
        <w:spacing w:before="100" w:beforeAutospacing="1" w:after="100" w:afterAutospacing="1" w:line="240" w:lineRule="auto"/>
        <w:ind w:left="0"/>
        <w:rPr>
          <w:rFonts w:ascii="Noto Sans" w:eastAsia="Times New Roman" w:hAnsi="Noto Sans" w:cs="Arial"/>
          <w:b/>
          <w:szCs w:val="20"/>
          <w:lang w:eastAsia="de-DE"/>
        </w:rPr>
      </w:pPr>
      <w:r w:rsidRPr="0078103E">
        <w:rPr>
          <w:rFonts w:ascii="Noto Sans" w:eastAsia="Times New Roman" w:hAnsi="Noto Sans" w:cs="Arial"/>
          <w:b/>
          <w:szCs w:val="20"/>
          <w:lang w:eastAsia="de-DE"/>
        </w:rPr>
        <w:t xml:space="preserve">Rolle der KWK als Werkzeug zur kosteneffizienten Umsetzung der Energiewende </w:t>
      </w:r>
      <w:r w:rsidR="00E501EC">
        <w:rPr>
          <w:rFonts w:ascii="Noto Sans" w:eastAsia="Times New Roman" w:hAnsi="Noto Sans" w:cs="Arial"/>
          <w:b/>
          <w:szCs w:val="20"/>
          <w:lang w:eastAsia="de-DE"/>
        </w:rPr>
        <w:t>von</w:t>
      </w:r>
      <w:r w:rsidRPr="0078103E">
        <w:rPr>
          <w:rFonts w:ascii="Noto Sans" w:eastAsia="Times New Roman" w:hAnsi="Noto Sans" w:cs="Arial"/>
          <w:b/>
          <w:szCs w:val="20"/>
          <w:lang w:eastAsia="de-DE"/>
        </w:rPr>
        <w:t xml:space="preserve"> </w:t>
      </w:r>
      <w:r w:rsidR="00E501EC" w:rsidRPr="0078103E">
        <w:rPr>
          <w:rFonts w:ascii="Noto Sans" w:eastAsia="Times New Roman" w:hAnsi="Noto Sans" w:cs="Arial"/>
          <w:b/>
          <w:szCs w:val="20"/>
          <w:lang w:eastAsia="de-DE"/>
        </w:rPr>
        <w:t xml:space="preserve">Politik </w:t>
      </w:r>
      <w:r w:rsidR="00E501EC">
        <w:rPr>
          <w:rFonts w:ascii="Noto Sans" w:eastAsia="Times New Roman" w:hAnsi="Noto Sans" w:cs="Arial"/>
          <w:b/>
          <w:szCs w:val="20"/>
          <w:lang w:eastAsia="de-DE"/>
        </w:rPr>
        <w:t xml:space="preserve">noch </w:t>
      </w:r>
      <w:r w:rsidR="00E501EC" w:rsidRPr="0078103E">
        <w:rPr>
          <w:rFonts w:ascii="Noto Sans" w:eastAsia="Times New Roman" w:hAnsi="Noto Sans" w:cs="Arial"/>
          <w:b/>
          <w:szCs w:val="20"/>
          <w:lang w:eastAsia="de-DE"/>
        </w:rPr>
        <w:t>unterbewertet</w:t>
      </w:r>
    </w:p>
    <w:p w:rsidR="009005B4" w:rsidRDefault="009005B4" w:rsidP="009005B4">
      <w:pPr>
        <w:spacing w:before="100" w:beforeAutospacing="1" w:after="100" w:afterAutospacing="1" w:line="240" w:lineRule="auto"/>
        <w:ind w:left="0"/>
        <w:jc w:val="both"/>
        <w:rPr>
          <w:rFonts w:ascii="Noto Sans" w:eastAsia="Times New Roman" w:hAnsi="Noto Sans" w:cs="Arial"/>
          <w:szCs w:val="20"/>
          <w:lang w:eastAsia="de-DE"/>
        </w:rPr>
      </w:pPr>
      <w:r>
        <w:rPr>
          <w:rFonts w:ascii="Noto Sans" w:eastAsia="Times New Roman" w:hAnsi="Noto Sans" w:cs="Arial"/>
          <w:szCs w:val="20"/>
          <w:lang w:eastAsia="de-DE"/>
        </w:rPr>
        <w:t>Für den deutschen M</w:t>
      </w:r>
      <w:r w:rsidR="00351F8A">
        <w:rPr>
          <w:rFonts w:ascii="Noto Sans" w:eastAsia="Times New Roman" w:hAnsi="Noto Sans" w:cs="Arial"/>
          <w:szCs w:val="20"/>
          <w:lang w:eastAsia="de-DE"/>
        </w:rPr>
        <w:t xml:space="preserve">arkt bewertet </w:t>
      </w:r>
      <w:r w:rsidR="004F5475">
        <w:rPr>
          <w:rFonts w:ascii="Noto Sans" w:eastAsia="Times New Roman" w:hAnsi="Noto Sans" w:cs="Arial"/>
          <w:szCs w:val="20"/>
          <w:lang w:eastAsia="de-DE"/>
        </w:rPr>
        <w:t>Grotholt</w:t>
      </w:r>
      <w:r w:rsidR="00351F8A">
        <w:rPr>
          <w:rFonts w:ascii="Noto Sans" w:eastAsia="Times New Roman" w:hAnsi="Noto Sans" w:cs="Arial"/>
          <w:szCs w:val="20"/>
          <w:lang w:eastAsia="de-DE"/>
        </w:rPr>
        <w:t xml:space="preserve"> die angekündigten Veränderungen des Kraft-Wärme-Kopplungs-Gesetzes (KWKG) als nicht </w:t>
      </w:r>
      <w:r>
        <w:rPr>
          <w:rFonts w:ascii="Noto Sans" w:eastAsia="Times New Roman" w:hAnsi="Noto Sans" w:cs="Arial"/>
          <w:szCs w:val="20"/>
          <w:lang w:eastAsia="de-DE"/>
        </w:rPr>
        <w:t xml:space="preserve">zielführend für den </w:t>
      </w:r>
      <w:r w:rsidR="00351F8A">
        <w:rPr>
          <w:rFonts w:ascii="Noto Sans" w:eastAsia="Times New Roman" w:hAnsi="Noto Sans" w:cs="Arial"/>
          <w:szCs w:val="20"/>
          <w:lang w:eastAsia="de-DE"/>
        </w:rPr>
        <w:t>Ausbau des KWK-Stromanteils von</w:t>
      </w:r>
      <w:r>
        <w:rPr>
          <w:rFonts w:ascii="Noto Sans" w:eastAsia="Times New Roman" w:hAnsi="Noto Sans" w:cs="Arial"/>
          <w:szCs w:val="20"/>
          <w:lang w:eastAsia="de-DE"/>
        </w:rPr>
        <w:t xml:space="preserve"> heute rund 16 Prozent auf</w:t>
      </w:r>
      <w:r w:rsidR="00351F8A">
        <w:rPr>
          <w:rFonts w:ascii="Noto Sans" w:eastAsia="Times New Roman" w:hAnsi="Noto Sans" w:cs="Arial"/>
          <w:szCs w:val="20"/>
          <w:lang w:eastAsia="de-DE"/>
        </w:rPr>
        <w:t xml:space="preserve"> 25 Prozent der Nettostromer</w:t>
      </w:r>
      <w:r>
        <w:rPr>
          <w:rFonts w:ascii="Noto Sans" w:eastAsia="Times New Roman" w:hAnsi="Noto Sans" w:cs="Arial"/>
          <w:szCs w:val="20"/>
          <w:lang w:eastAsia="de-DE"/>
        </w:rPr>
        <w:t xml:space="preserve">zeugung in Deutschland bis 2020. Dieser Ausbau ist notwendig, </w:t>
      </w:r>
      <w:r w:rsidR="00351F8A">
        <w:rPr>
          <w:rFonts w:ascii="Noto Sans" w:eastAsia="Times New Roman" w:hAnsi="Noto Sans" w:cs="Arial"/>
          <w:szCs w:val="20"/>
          <w:lang w:eastAsia="de-DE"/>
        </w:rPr>
        <w:t xml:space="preserve"> um den Ausbau der erneuerbaren Energien mit volatiler Einspeisung zu stützen. Er</w:t>
      </w:r>
      <w:r w:rsidR="004F5475">
        <w:rPr>
          <w:rFonts w:ascii="Noto Sans" w:eastAsia="Times New Roman" w:hAnsi="Noto Sans" w:cs="Arial"/>
          <w:szCs w:val="20"/>
          <w:lang w:eastAsia="de-DE"/>
        </w:rPr>
        <w:t xml:space="preserve"> fordert ein Umdenken der Politik, die den Wert der hocheffizienten und flexiblen KWK für die wirtschaftlich vertretbare Umsetzung der Energiewende noch nicht anerkennt in Form von förderlichen regulatorischen Rahmen</w:t>
      </w:r>
      <w:r>
        <w:rPr>
          <w:rFonts w:ascii="Noto Sans" w:eastAsia="Times New Roman" w:hAnsi="Noto Sans" w:cs="Arial"/>
          <w:szCs w:val="20"/>
          <w:lang w:eastAsia="de-DE"/>
        </w:rPr>
        <w:t>bedingungen für den KWK-Ausbau:</w:t>
      </w:r>
      <w:r w:rsidR="004F5475">
        <w:rPr>
          <w:rFonts w:ascii="Noto Sans" w:eastAsia="Times New Roman" w:hAnsi="Noto Sans" w:cs="Arial"/>
          <w:szCs w:val="20"/>
          <w:lang w:eastAsia="de-DE"/>
        </w:rPr>
        <w:t xml:space="preserve"> „Die KWK ist eine Effizienztechnologie, die insbesondere aufgrund ihrer schnellen Regelbarkeit zum Ausgleich der schwankenden Einspeisung aus erneu</w:t>
      </w:r>
      <w:r w:rsidR="00461D1C">
        <w:rPr>
          <w:rFonts w:ascii="Noto Sans" w:eastAsia="Times New Roman" w:hAnsi="Noto Sans" w:cs="Arial"/>
          <w:szCs w:val="20"/>
          <w:lang w:eastAsia="de-DE"/>
        </w:rPr>
        <w:t>erbaren Energie</w:t>
      </w:r>
      <w:r w:rsidR="004F5475">
        <w:rPr>
          <w:rFonts w:ascii="Noto Sans" w:eastAsia="Times New Roman" w:hAnsi="Noto Sans" w:cs="Arial"/>
          <w:szCs w:val="20"/>
          <w:lang w:eastAsia="de-DE"/>
        </w:rPr>
        <w:t>n</w:t>
      </w:r>
      <w:r w:rsidR="00D57E7D">
        <w:rPr>
          <w:rFonts w:ascii="Noto Sans" w:eastAsia="Times New Roman" w:hAnsi="Noto Sans" w:cs="Arial"/>
          <w:szCs w:val="20"/>
          <w:lang w:eastAsia="de-DE"/>
        </w:rPr>
        <w:t xml:space="preserve"> ein zentraler </w:t>
      </w:r>
      <w:r w:rsidR="00D57E7D">
        <w:rPr>
          <w:rFonts w:ascii="Segoe UI" w:eastAsia="Times New Roman" w:hAnsi="Segoe UI" w:cs="Segoe UI"/>
          <w:szCs w:val="20"/>
          <w:lang w:eastAsia="de-DE"/>
        </w:rPr>
        <w:t>›</w:t>
      </w:r>
      <w:r w:rsidR="00D57E7D">
        <w:rPr>
          <w:rFonts w:ascii="Noto Sans" w:eastAsia="Times New Roman" w:hAnsi="Noto Sans" w:cs="Arial"/>
          <w:szCs w:val="20"/>
          <w:lang w:eastAsia="de-DE"/>
        </w:rPr>
        <w:t>Enabler</w:t>
      </w:r>
      <w:r w:rsidR="00D57E7D">
        <w:rPr>
          <w:rFonts w:ascii="Segoe UI" w:eastAsia="Times New Roman" w:hAnsi="Segoe UI" w:cs="Segoe UI"/>
          <w:szCs w:val="20"/>
          <w:lang w:eastAsia="de-DE"/>
        </w:rPr>
        <w:t>‹</w:t>
      </w:r>
      <w:r w:rsidR="00461D1C">
        <w:rPr>
          <w:rFonts w:ascii="Noto Sans" w:eastAsia="Times New Roman" w:hAnsi="Noto Sans" w:cs="Arial"/>
          <w:szCs w:val="20"/>
          <w:lang w:eastAsia="de-DE"/>
        </w:rPr>
        <w:t xml:space="preserve"> für die Energiewende ist. Das bedeutet in der Konsequenz eine angemessene Förderung der Hocheffizienztechnologie KWK, um die aktuell teilweise schwierige Ausgangslage für KWK-Investitionen zu verbessern. Und es erfordert die Neudefinition eines politischen KWK-Ziels als quantifizierter Anteil des KWK-Stroms an der steuerbaren Stromerzeugung.</w:t>
      </w:r>
      <w:r w:rsidR="007B00E3">
        <w:rPr>
          <w:rFonts w:ascii="Noto Sans" w:eastAsia="Times New Roman" w:hAnsi="Noto Sans" w:cs="Arial"/>
          <w:szCs w:val="20"/>
          <w:lang w:eastAsia="de-DE"/>
        </w:rPr>
        <w:t>“</w:t>
      </w:r>
      <w:r w:rsidR="00461D1C">
        <w:rPr>
          <w:rFonts w:ascii="Noto Sans" w:eastAsia="Times New Roman" w:hAnsi="Noto Sans" w:cs="Arial"/>
          <w:szCs w:val="20"/>
          <w:lang w:eastAsia="de-DE"/>
        </w:rPr>
        <w:t xml:space="preserve">    </w:t>
      </w:r>
      <w:r w:rsidR="004F5475">
        <w:rPr>
          <w:rFonts w:ascii="Noto Sans" w:eastAsia="Times New Roman" w:hAnsi="Noto Sans" w:cs="Arial"/>
          <w:szCs w:val="20"/>
          <w:lang w:eastAsia="de-DE"/>
        </w:rPr>
        <w:t xml:space="preserve">         </w:t>
      </w:r>
    </w:p>
    <w:p w:rsidR="007B00E3" w:rsidRPr="00EA6E2E" w:rsidRDefault="00EA6E2E" w:rsidP="009005B4">
      <w:pPr>
        <w:spacing w:before="100" w:beforeAutospacing="1" w:after="100" w:afterAutospacing="1" w:line="240" w:lineRule="auto"/>
        <w:ind w:left="0"/>
        <w:jc w:val="both"/>
        <w:rPr>
          <w:rFonts w:ascii="Noto Sans" w:eastAsia="Times New Roman" w:hAnsi="Noto Sans" w:cs="Arial"/>
          <w:szCs w:val="20"/>
          <w:lang w:eastAsia="de-DE"/>
        </w:rPr>
      </w:pPr>
      <w:r w:rsidRPr="00EA6E2E">
        <w:rPr>
          <w:rFonts w:ascii="Noto Sans" w:hAnsi="Noto Sans"/>
        </w:rPr>
        <w:t>Um sich trotz der herausfordernden politischen Rahmenbedingungen im Heimatmarkt weitere Wachstumschancen zu eröffnen, hat 2G sich mit der Gründung einer Tochtergesellschaft zur Bereitstellung von Miet- und Leasing-Lösungen für ihre KWK-Kraftwerke neue Absatzinstrumente erschlossen.</w:t>
      </w:r>
    </w:p>
    <w:p w:rsidR="007B00E3" w:rsidRPr="007B00E3" w:rsidRDefault="007B00E3" w:rsidP="009005B4">
      <w:pPr>
        <w:spacing w:before="100" w:beforeAutospacing="1" w:after="100" w:afterAutospacing="1" w:line="240" w:lineRule="auto"/>
        <w:ind w:left="0"/>
        <w:jc w:val="both"/>
        <w:rPr>
          <w:rFonts w:ascii="Noto Sans" w:eastAsia="Times New Roman" w:hAnsi="Noto Sans" w:cs="Arial"/>
          <w:b/>
          <w:szCs w:val="20"/>
          <w:lang w:eastAsia="de-DE"/>
        </w:rPr>
      </w:pPr>
      <w:r w:rsidRPr="007B00E3">
        <w:rPr>
          <w:rFonts w:ascii="Noto Sans" w:eastAsia="Times New Roman" w:hAnsi="Noto Sans" w:cs="Arial"/>
          <w:b/>
          <w:szCs w:val="20"/>
          <w:lang w:eastAsia="de-DE"/>
        </w:rPr>
        <w:t>Mieten statt kaufen – 2G Rental GmbH ermöglicht „Innovation ohne Investition“</w:t>
      </w:r>
    </w:p>
    <w:p w:rsidR="007A0990" w:rsidRDefault="007B00E3" w:rsidP="009005B4">
      <w:pPr>
        <w:spacing w:before="100" w:beforeAutospacing="1" w:after="100" w:afterAutospacing="1" w:line="240" w:lineRule="auto"/>
        <w:ind w:left="0"/>
        <w:jc w:val="both"/>
        <w:rPr>
          <w:rFonts w:ascii="Noto Sans" w:eastAsia="Times New Roman" w:hAnsi="Noto Sans" w:cs="Arial"/>
          <w:szCs w:val="20"/>
          <w:lang w:eastAsia="de-DE"/>
        </w:rPr>
      </w:pPr>
      <w:r>
        <w:rPr>
          <w:rFonts w:ascii="Noto Sans" w:eastAsia="Times New Roman" w:hAnsi="Noto Sans" w:cs="Arial"/>
          <w:szCs w:val="20"/>
          <w:lang w:eastAsia="de-DE"/>
        </w:rPr>
        <w:t>2G bietet seinen Kunden durch die neu gegründete 2G Rental GmbH eine mietweise Gebrauchsüberlassung von technisch standardisierten 2G KWK</w:t>
      </w:r>
      <w:r w:rsidR="00C6798E">
        <w:rPr>
          <w:rFonts w:ascii="Noto Sans" w:eastAsia="Times New Roman" w:hAnsi="Noto Sans" w:cs="Arial"/>
          <w:szCs w:val="20"/>
          <w:lang w:eastAsia="de-DE"/>
        </w:rPr>
        <w:t>-Anlagen im Leistungsspektrum von 20 kW bis 550 kW elektrisch an – bei Containerlösungen auch im höheren Leistungsbereich.</w:t>
      </w:r>
      <w:r w:rsidR="007A0990">
        <w:rPr>
          <w:rFonts w:ascii="Noto Sans" w:eastAsia="Times New Roman" w:hAnsi="Noto Sans" w:cs="Arial"/>
          <w:szCs w:val="20"/>
          <w:lang w:eastAsia="de-DE"/>
        </w:rPr>
        <w:t xml:space="preserve"> Das Mietmodell eignet sich für Laufzeiten von vier bis neun Jahren und richtet sich in erster Linie an Energieversorger und Energiedienstleister. Zusätzlich wird </w:t>
      </w:r>
      <w:r w:rsidR="004170E9">
        <w:rPr>
          <w:rFonts w:ascii="Noto Sans" w:eastAsia="Times New Roman" w:hAnsi="Noto Sans" w:cs="Arial"/>
          <w:szCs w:val="20"/>
          <w:lang w:eastAsia="de-DE"/>
        </w:rPr>
        <w:t xml:space="preserve">mit den Rückläufern am Ende der Mietzeit in einem Zweitmarkt </w:t>
      </w:r>
      <w:r w:rsidR="007A0990">
        <w:rPr>
          <w:rFonts w:ascii="Noto Sans" w:eastAsia="Times New Roman" w:hAnsi="Noto Sans" w:cs="Arial"/>
          <w:szCs w:val="20"/>
          <w:lang w:eastAsia="de-DE"/>
        </w:rPr>
        <w:t>der Absatz von 2G KWK-Anlagen in denjenigen Ländern gefördert, die bisher aufgrund des Qualitäts-Preis-Verhältnisses nicht nachhaltig erschlossen werden konnten.</w:t>
      </w:r>
    </w:p>
    <w:p w:rsidR="007A0990" w:rsidRPr="00F54DC0" w:rsidRDefault="007A0990" w:rsidP="009005B4">
      <w:pPr>
        <w:spacing w:before="100" w:beforeAutospacing="1" w:after="100" w:afterAutospacing="1" w:line="240" w:lineRule="auto"/>
        <w:ind w:left="0"/>
        <w:jc w:val="both"/>
        <w:rPr>
          <w:rFonts w:ascii="Noto Sans" w:eastAsia="Times New Roman" w:hAnsi="Noto Sans" w:cs="Arial"/>
          <w:b/>
          <w:szCs w:val="20"/>
          <w:lang w:eastAsia="de-DE"/>
        </w:rPr>
      </w:pPr>
      <w:r w:rsidRPr="00F54DC0">
        <w:rPr>
          <w:rFonts w:ascii="Noto Sans" w:eastAsia="Times New Roman" w:hAnsi="Noto Sans" w:cs="Arial"/>
          <w:b/>
          <w:szCs w:val="20"/>
          <w:lang w:eastAsia="de-DE"/>
        </w:rPr>
        <w:t>Industrie und Energiewirtschaft haben zunehmenden Bedarf an Komplettlösungen und Projektlösungs-Kompetenz</w:t>
      </w:r>
    </w:p>
    <w:p w:rsidR="002E0229" w:rsidRDefault="002E0229" w:rsidP="009005B4">
      <w:pPr>
        <w:spacing w:before="100" w:beforeAutospacing="1" w:after="100" w:afterAutospacing="1" w:line="240" w:lineRule="auto"/>
        <w:ind w:left="0"/>
        <w:jc w:val="both"/>
        <w:rPr>
          <w:rFonts w:ascii="Noto Sans" w:eastAsia="Times New Roman" w:hAnsi="Noto Sans" w:cs="Arial"/>
          <w:szCs w:val="20"/>
          <w:lang w:eastAsia="de-DE"/>
        </w:rPr>
      </w:pPr>
      <w:r>
        <w:rPr>
          <w:rFonts w:ascii="Noto Sans" w:eastAsia="Times New Roman" w:hAnsi="Noto Sans" w:cs="Arial"/>
          <w:szCs w:val="20"/>
          <w:lang w:eastAsia="de-DE"/>
        </w:rPr>
        <w:t>Ein weiterer Baustein für die Sicherung des Unternehmenserfolges ist die hohe Projektmanagement-Kompetenz von 2G gerade für komplexe Gesamtlösungen, die im Laufe von 20 Jahren mit reichhaltigen Erfahrungen aus der Realisierung von tausenden von</w:t>
      </w:r>
      <w:r w:rsidR="00633257">
        <w:rPr>
          <w:rFonts w:ascii="Noto Sans" w:eastAsia="Times New Roman" w:hAnsi="Noto Sans" w:cs="Arial"/>
          <w:szCs w:val="20"/>
          <w:lang w:eastAsia="de-DE"/>
        </w:rPr>
        <w:t xml:space="preserve"> Projekten </w:t>
      </w:r>
      <w:r w:rsidR="004170E9">
        <w:rPr>
          <w:rFonts w:ascii="Noto Sans" w:eastAsia="Times New Roman" w:hAnsi="Noto Sans" w:cs="Arial"/>
          <w:szCs w:val="20"/>
          <w:lang w:eastAsia="de-DE"/>
        </w:rPr>
        <w:t xml:space="preserve">aufgebaut </w:t>
      </w:r>
      <w:r w:rsidR="00633257">
        <w:rPr>
          <w:rFonts w:ascii="Noto Sans" w:eastAsia="Times New Roman" w:hAnsi="Noto Sans" w:cs="Arial"/>
          <w:szCs w:val="20"/>
          <w:lang w:eastAsia="de-DE"/>
        </w:rPr>
        <w:t>wurde.</w:t>
      </w:r>
      <w:r w:rsidR="00D57E7D">
        <w:rPr>
          <w:rFonts w:ascii="Noto Sans" w:eastAsia="Times New Roman" w:hAnsi="Noto Sans" w:cs="Arial"/>
          <w:szCs w:val="20"/>
          <w:lang w:eastAsia="de-DE"/>
        </w:rPr>
        <w:t xml:space="preserve"> </w:t>
      </w:r>
      <w:r w:rsidR="00633257">
        <w:rPr>
          <w:rFonts w:ascii="Noto Sans" w:eastAsia="Times New Roman" w:hAnsi="Noto Sans" w:cs="Arial"/>
          <w:szCs w:val="20"/>
          <w:lang w:eastAsia="de-DE"/>
        </w:rPr>
        <w:t>Durch die Gesamtlösungskompetenz kann das Potenzial von KWK-Lösungen vollständig zur Anwendung kommen: „</w:t>
      </w:r>
      <w:r w:rsidR="007A0990">
        <w:rPr>
          <w:rFonts w:ascii="Noto Sans" w:eastAsia="Times New Roman" w:hAnsi="Noto Sans" w:cs="Arial"/>
          <w:szCs w:val="20"/>
          <w:lang w:eastAsia="de-DE"/>
        </w:rPr>
        <w:t>Die vielfältig und sehr effizient nutzbare thermische Leistung von KWK-Anl</w:t>
      </w:r>
      <w:r w:rsidR="007C6754">
        <w:rPr>
          <w:rFonts w:ascii="Noto Sans" w:eastAsia="Times New Roman" w:hAnsi="Noto Sans" w:cs="Arial"/>
          <w:szCs w:val="20"/>
          <w:lang w:eastAsia="de-DE"/>
        </w:rPr>
        <w:t xml:space="preserve">agen bietet </w:t>
      </w:r>
      <w:r w:rsidR="007A0990">
        <w:rPr>
          <w:rFonts w:ascii="Noto Sans" w:eastAsia="Times New Roman" w:hAnsi="Noto Sans" w:cs="Arial"/>
          <w:szCs w:val="20"/>
          <w:lang w:eastAsia="de-DE"/>
        </w:rPr>
        <w:t>für viele Industriebetriebe auch nach de</w:t>
      </w:r>
      <w:r w:rsidR="00F54DC0">
        <w:rPr>
          <w:rFonts w:ascii="Noto Sans" w:eastAsia="Times New Roman" w:hAnsi="Noto Sans" w:cs="Arial"/>
          <w:szCs w:val="20"/>
          <w:lang w:eastAsia="de-DE"/>
        </w:rPr>
        <w:t>r EEG-</w:t>
      </w:r>
      <w:r w:rsidR="00633257">
        <w:rPr>
          <w:rFonts w:ascii="Noto Sans" w:eastAsia="Times New Roman" w:hAnsi="Noto Sans" w:cs="Arial"/>
          <w:szCs w:val="20"/>
          <w:lang w:eastAsia="de-DE"/>
        </w:rPr>
        <w:t xml:space="preserve">Novelle 2014 </w:t>
      </w:r>
      <w:r w:rsidR="007C6754">
        <w:rPr>
          <w:rFonts w:ascii="Noto Sans" w:eastAsia="Times New Roman" w:hAnsi="Noto Sans" w:cs="Arial"/>
          <w:szCs w:val="20"/>
          <w:lang w:eastAsia="de-DE"/>
        </w:rPr>
        <w:t>große Vorteile</w:t>
      </w:r>
      <w:r w:rsidR="00F54DC0">
        <w:rPr>
          <w:rFonts w:ascii="Noto Sans" w:eastAsia="Times New Roman" w:hAnsi="Noto Sans" w:cs="Arial"/>
          <w:szCs w:val="20"/>
          <w:lang w:eastAsia="de-DE"/>
        </w:rPr>
        <w:t>, da der Kostendruck zur Einsparung von Energiekosten zwingt. Bei Gesamtwirkungsgraden von 87 Prozent oder mehr werden BHKW nicht nur zu Erzeugung von Wärme und Strom eingesetzt, sondern auch für die Bereitstellung von Dampf und Kälte für die e</w:t>
      </w:r>
      <w:r w:rsidR="00633257">
        <w:rPr>
          <w:rFonts w:ascii="Noto Sans" w:eastAsia="Times New Roman" w:hAnsi="Noto Sans" w:cs="Arial"/>
          <w:szCs w:val="20"/>
          <w:lang w:eastAsia="de-DE"/>
        </w:rPr>
        <w:t xml:space="preserve">igentlichen Produktionsprozesse“, erläutert Grotholt. </w:t>
      </w:r>
      <w:r w:rsidR="00F54DC0">
        <w:rPr>
          <w:rFonts w:ascii="Noto Sans" w:eastAsia="Times New Roman" w:hAnsi="Noto Sans" w:cs="Arial"/>
          <w:szCs w:val="20"/>
          <w:lang w:eastAsia="de-DE"/>
        </w:rPr>
        <w:t xml:space="preserve">Anwendungen </w:t>
      </w:r>
      <w:r w:rsidR="002B5B3C">
        <w:rPr>
          <w:rFonts w:ascii="Noto Sans" w:eastAsia="Times New Roman" w:hAnsi="Noto Sans" w:cs="Arial"/>
          <w:szCs w:val="20"/>
          <w:lang w:eastAsia="de-DE"/>
        </w:rPr>
        <w:t xml:space="preserve">z.B. </w:t>
      </w:r>
      <w:r w:rsidR="00F54DC0">
        <w:rPr>
          <w:rFonts w:ascii="Noto Sans" w:eastAsia="Times New Roman" w:hAnsi="Noto Sans" w:cs="Arial"/>
          <w:szCs w:val="20"/>
          <w:lang w:eastAsia="de-DE"/>
        </w:rPr>
        <w:t>in der chemischen Industrie und der Pharma-Branche profitieren von der Kraft-Wärme-Kopplung (KWK) und Kraft-Wärme-Kälte-Kopplung (KWKK) ebenso wi</w:t>
      </w:r>
      <w:r w:rsidR="002B5B3C">
        <w:rPr>
          <w:rFonts w:ascii="Noto Sans" w:eastAsia="Times New Roman" w:hAnsi="Noto Sans" w:cs="Arial"/>
          <w:szCs w:val="20"/>
          <w:lang w:eastAsia="de-DE"/>
        </w:rPr>
        <w:t xml:space="preserve">e </w:t>
      </w:r>
      <w:r w:rsidR="00F54DC0">
        <w:rPr>
          <w:rFonts w:ascii="Noto Sans" w:eastAsia="Times New Roman" w:hAnsi="Noto Sans" w:cs="Arial"/>
          <w:szCs w:val="20"/>
          <w:lang w:eastAsia="de-DE"/>
        </w:rPr>
        <w:t>die Lebensmittelindustrie</w:t>
      </w:r>
      <w:r w:rsidR="002B5B3C">
        <w:rPr>
          <w:rFonts w:ascii="Noto Sans" w:eastAsia="Times New Roman" w:hAnsi="Noto Sans" w:cs="Arial"/>
          <w:szCs w:val="20"/>
          <w:lang w:eastAsia="de-DE"/>
        </w:rPr>
        <w:t xml:space="preserve"> und weitere Branchen mit einem kontinuierlichen Prozesswärmebedarf sowie Nutzungsmöglichkeiten für Kälte und Dampf</w:t>
      </w:r>
      <w:r w:rsidR="00F54DC0">
        <w:rPr>
          <w:rFonts w:ascii="Noto Sans" w:eastAsia="Times New Roman" w:hAnsi="Noto Sans" w:cs="Arial"/>
          <w:szCs w:val="20"/>
          <w:lang w:eastAsia="de-DE"/>
        </w:rPr>
        <w:t xml:space="preserve">. </w:t>
      </w:r>
    </w:p>
    <w:p w:rsidR="00EB1E1F" w:rsidRDefault="002B5B3C" w:rsidP="000F4393">
      <w:pPr>
        <w:spacing w:before="100" w:beforeAutospacing="1" w:after="100" w:afterAutospacing="1" w:line="240" w:lineRule="auto"/>
        <w:ind w:left="0"/>
        <w:jc w:val="both"/>
        <w:rPr>
          <w:rFonts w:ascii="Noto Sans" w:eastAsia="Times New Roman" w:hAnsi="Noto Sans" w:cs="Arial"/>
          <w:szCs w:val="20"/>
          <w:lang w:eastAsia="de-DE"/>
        </w:rPr>
      </w:pPr>
      <w:r>
        <w:rPr>
          <w:rFonts w:ascii="Noto Sans" w:eastAsia="Times New Roman" w:hAnsi="Noto Sans" w:cs="Arial"/>
          <w:szCs w:val="20"/>
          <w:lang w:eastAsia="de-DE"/>
        </w:rPr>
        <w:t xml:space="preserve">Auch für die Energiewirtschaft hat 2G Energy </w:t>
      </w:r>
      <w:r w:rsidR="009005B4">
        <w:rPr>
          <w:rFonts w:ascii="Noto Sans" w:eastAsia="Times New Roman" w:hAnsi="Noto Sans" w:cs="Arial"/>
          <w:szCs w:val="20"/>
          <w:lang w:eastAsia="de-DE"/>
        </w:rPr>
        <w:t xml:space="preserve">z.B. durch die schlüsselfertige Lieferung einer mit Biomethangas betriebenen KWK-Anlage </w:t>
      </w:r>
      <w:r>
        <w:rPr>
          <w:rFonts w:ascii="Noto Sans" w:eastAsia="Times New Roman" w:hAnsi="Noto Sans" w:cs="Arial"/>
          <w:szCs w:val="20"/>
          <w:lang w:eastAsia="de-DE"/>
        </w:rPr>
        <w:t xml:space="preserve">seine Gesamtlösungskompetenz als </w:t>
      </w:r>
      <w:r w:rsidR="007C6754">
        <w:rPr>
          <w:rFonts w:ascii="Noto Sans" w:eastAsia="Times New Roman" w:hAnsi="Noto Sans" w:cs="Arial"/>
          <w:szCs w:val="20"/>
          <w:lang w:eastAsia="de-DE"/>
        </w:rPr>
        <w:t xml:space="preserve">Generalunternehmer </w:t>
      </w:r>
      <w:r w:rsidR="009005B4">
        <w:rPr>
          <w:rFonts w:ascii="Noto Sans" w:eastAsia="Times New Roman" w:hAnsi="Noto Sans" w:cs="Arial"/>
          <w:szCs w:val="20"/>
          <w:lang w:eastAsia="de-DE"/>
        </w:rPr>
        <w:t>demonstriert</w:t>
      </w:r>
      <w:r w:rsidR="007C6754">
        <w:rPr>
          <w:rFonts w:ascii="Noto Sans" w:eastAsia="Times New Roman" w:hAnsi="Noto Sans" w:cs="Arial"/>
          <w:szCs w:val="20"/>
          <w:lang w:eastAsia="de-DE"/>
        </w:rPr>
        <w:t xml:space="preserve">. In dem Heizwerk der </w:t>
      </w:r>
      <w:r>
        <w:rPr>
          <w:rFonts w:ascii="Noto Sans" w:eastAsia="Times New Roman" w:hAnsi="Noto Sans" w:cs="Arial"/>
          <w:szCs w:val="20"/>
          <w:lang w:eastAsia="de-DE"/>
        </w:rPr>
        <w:t xml:space="preserve">STEAG New Energies in Essen-Rüttenscheid </w:t>
      </w:r>
      <w:r w:rsidR="007C6754">
        <w:rPr>
          <w:rFonts w:ascii="Noto Sans" w:eastAsia="Times New Roman" w:hAnsi="Noto Sans" w:cs="Arial"/>
          <w:szCs w:val="20"/>
          <w:lang w:eastAsia="de-DE"/>
        </w:rPr>
        <w:t>wurde ein alter, kohlebefeuerter Kessel durch eine effiziente KWK-Anlage mit einer elektrischen Leistung von 4,4 MW und einer thermischen Leistung von 4</w:t>
      </w:r>
      <w:r>
        <w:rPr>
          <w:rFonts w:ascii="Noto Sans" w:eastAsia="Times New Roman" w:hAnsi="Noto Sans" w:cs="Arial"/>
          <w:szCs w:val="20"/>
          <w:lang w:eastAsia="de-DE"/>
        </w:rPr>
        <w:t>,</w:t>
      </w:r>
      <w:r w:rsidR="007C6754">
        <w:rPr>
          <w:rFonts w:ascii="Noto Sans" w:eastAsia="Times New Roman" w:hAnsi="Noto Sans" w:cs="Arial"/>
          <w:szCs w:val="20"/>
          <w:lang w:eastAsia="de-DE"/>
        </w:rPr>
        <w:t>1 MW innerhalb von nur neun Monaten ersetzt.</w:t>
      </w:r>
    </w:p>
    <w:p w:rsidR="000F4393" w:rsidRDefault="000F4393" w:rsidP="000F4393">
      <w:pPr>
        <w:spacing w:before="100" w:beforeAutospacing="1" w:after="100" w:afterAutospacing="1" w:line="240" w:lineRule="auto"/>
        <w:ind w:left="0"/>
        <w:jc w:val="both"/>
        <w:rPr>
          <w:rFonts w:ascii="Noto Sans" w:hAnsi="Noto Sans" w:cs="Arial"/>
          <w:color w:val="0D0D0D" w:themeColor="text1" w:themeTint="F2"/>
          <w:szCs w:val="20"/>
        </w:rPr>
        <w:sectPr w:rsidR="000F4393" w:rsidSect="000F4393">
          <w:headerReference w:type="even" r:id="rId8"/>
          <w:headerReference w:type="default" r:id="rId9"/>
          <w:footerReference w:type="even" r:id="rId10"/>
          <w:footerReference w:type="default" r:id="rId11"/>
          <w:type w:val="continuous"/>
          <w:pgSz w:w="11906" w:h="16838"/>
          <w:pgMar w:top="1985" w:right="1021" w:bottom="1134" w:left="1021" w:header="1134" w:footer="227" w:gutter="0"/>
          <w:cols w:space="708"/>
          <w:docGrid w:linePitch="360"/>
        </w:sectPr>
      </w:pPr>
    </w:p>
    <w:p w:rsidR="000F4393" w:rsidRDefault="000F4393" w:rsidP="000F4393">
      <w:pPr>
        <w:ind w:left="0"/>
        <w:rPr>
          <w:rFonts w:ascii="Noto Sans" w:hAnsi="Noto Sans" w:cs="Arial"/>
          <w:color w:val="0D0D0D" w:themeColor="text1" w:themeTint="F2"/>
          <w:szCs w:val="20"/>
        </w:rPr>
      </w:pPr>
      <w:r>
        <w:rPr>
          <w:rFonts w:ascii="Noto Sans" w:hAnsi="Noto Sans" w:cs="Arial"/>
          <w:color w:val="0D0D0D" w:themeColor="text1" w:themeTint="F2"/>
          <w:szCs w:val="20"/>
        </w:rPr>
        <w:lastRenderedPageBreak/>
        <w:t xml:space="preserve">Bilder: </w:t>
      </w:r>
    </w:p>
    <w:p w:rsidR="000D74C7" w:rsidRDefault="000D74C7" w:rsidP="000F4393">
      <w:pPr>
        <w:ind w:left="0"/>
        <w:rPr>
          <w:rFonts w:ascii="Noto Sans" w:hAnsi="Noto Sans" w:cs="Arial"/>
          <w:color w:val="0D0D0D" w:themeColor="text1" w:themeTint="F2"/>
          <w:szCs w:val="20"/>
        </w:rPr>
      </w:pPr>
    </w:p>
    <w:p w:rsidR="000D74C7" w:rsidRDefault="000D74C7" w:rsidP="000F4393">
      <w:pPr>
        <w:ind w:left="0"/>
        <w:rPr>
          <w:rFonts w:ascii="Noto Sans" w:hAnsi="Noto Sans" w:cs="Arial"/>
          <w:color w:val="0D0D0D" w:themeColor="text1" w:themeTint="F2"/>
          <w:szCs w:val="20"/>
        </w:rPr>
      </w:pPr>
      <w:r>
        <w:rPr>
          <w:rFonts w:ascii="Noto Sans" w:hAnsi="Noto Sans" w:cs="Arial"/>
          <w:noProof/>
          <w:color w:val="0D0D0D" w:themeColor="text1" w:themeTint="F2"/>
          <w:szCs w:val="20"/>
          <w:lang w:eastAsia="de-DE"/>
        </w:rPr>
        <w:drawing>
          <wp:inline distT="0" distB="0" distL="0" distR="0">
            <wp:extent cx="1473251" cy="2205650"/>
            <wp:effectExtent l="19050" t="0" r="0" b="0"/>
            <wp:docPr id="6" name="Bild 3" descr="N:\Angebote &amp; Kunden-Infos\2G Energietechnik\Pressemitteilungen\Hannover Messe 2015\Bilder\400Christian_Grotholt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Angebote &amp; Kunden-Infos\2G Energietechnik\Pressemitteilungen\Hannover Messe 2015\Bilder\400Christian_Grotholt 2.jpg"/>
                    <pic:cNvPicPr>
                      <a:picLocks noChangeAspect="1" noChangeArrowheads="1"/>
                    </pic:cNvPicPr>
                  </pic:nvPicPr>
                  <pic:blipFill>
                    <a:blip r:embed="rId12" cstate="print"/>
                    <a:srcRect/>
                    <a:stretch>
                      <a:fillRect/>
                    </a:stretch>
                  </pic:blipFill>
                  <pic:spPr bwMode="auto">
                    <a:xfrm>
                      <a:off x="0" y="0"/>
                      <a:ext cx="1473271" cy="2205680"/>
                    </a:xfrm>
                    <a:prstGeom prst="rect">
                      <a:avLst/>
                    </a:prstGeom>
                    <a:noFill/>
                    <a:ln w="9525">
                      <a:noFill/>
                      <a:miter lim="800000"/>
                      <a:headEnd/>
                      <a:tailEnd/>
                    </a:ln>
                  </pic:spPr>
                </pic:pic>
              </a:graphicData>
            </a:graphic>
          </wp:inline>
        </w:drawing>
      </w:r>
    </w:p>
    <w:p w:rsidR="000F4393" w:rsidRDefault="000F4393" w:rsidP="000F4393">
      <w:pPr>
        <w:ind w:left="0"/>
        <w:rPr>
          <w:rFonts w:ascii="Noto Sans" w:hAnsi="Noto Sans" w:cs="Arial"/>
          <w:i/>
          <w:color w:val="0D0D0D" w:themeColor="text1" w:themeTint="F2"/>
          <w:szCs w:val="20"/>
        </w:rPr>
      </w:pPr>
      <w:r w:rsidRPr="000F4393">
        <w:rPr>
          <w:rFonts w:ascii="Noto Sans" w:hAnsi="Noto Sans" w:cs="Arial"/>
          <w:i/>
          <w:color w:val="0D0D0D" w:themeColor="text1" w:themeTint="F2"/>
          <w:szCs w:val="20"/>
        </w:rPr>
        <w:t xml:space="preserve">Christian Grotholt, Vorstandsvorsitzender (CEO) der 2G </w:t>
      </w:r>
      <w:proofErr w:type="spellStart"/>
      <w:r w:rsidRPr="000F4393">
        <w:rPr>
          <w:rFonts w:ascii="Noto Sans" w:hAnsi="Noto Sans" w:cs="Arial"/>
          <w:i/>
          <w:color w:val="0D0D0D" w:themeColor="text1" w:themeTint="F2"/>
          <w:szCs w:val="20"/>
        </w:rPr>
        <w:t>Energy</w:t>
      </w:r>
      <w:proofErr w:type="spellEnd"/>
      <w:r w:rsidRPr="000F4393">
        <w:rPr>
          <w:rFonts w:ascii="Noto Sans" w:hAnsi="Noto Sans" w:cs="Arial"/>
          <w:i/>
          <w:color w:val="0D0D0D" w:themeColor="text1" w:themeTint="F2"/>
          <w:szCs w:val="20"/>
        </w:rPr>
        <w:t xml:space="preserve"> AG, </w:t>
      </w:r>
      <w:proofErr w:type="spellStart"/>
      <w:r w:rsidRPr="000F4393">
        <w:rPr>
          <w:rFonts w:ascii="Noto Sans" w:hAnsi="Noto Sans" w:cs="Arial"/>
          <w:i/>
          <w:color w:val="0D0D0D" w:themeColor="text1" w:themeTint="F2"/>
          <w:szCs w:val="20"/>
        </w:rPr>
        <w:t>Heek</w:t>
      </w:r>
      <w:proofErr w:type="spellEnd"/>
    </w:p>
    <w:p w:rsidR="000D74C7" w:rsidRPr="000F4393" w:rsidRDefault="000D74C7" w:rsidP="000F4393">
      <w:pPr>
        <w:ind w:left="0"/>
        <w:rPr>
          <w:rFonts w:ascii="Noto Sans" w:hAnsi="Noto Sans" w:cs="Arial"/>
          <w:i/>
          <w:color w:val="0D0D0D" w:themeColor="text1" w:themeTint="F2"/>
          <w:szCs w:val="20"/>
        </w:rPr>
      </w:pPr>
    </w:p>
    <w:p w:rsidR="000D74C7" w:rsidRDefault="000D74C7" w:rsidP="000F4393">
      <w:pPr>
        <w:ind w:left="0"/>
        <w:rPr>
          <w:rFonts w:ascii="Noto Sans" w:hAnsi="Noto Sans" w:cs="Arial"/>
          <w:i/>
          <w:color w:val="0D0D0D" w:themeColor="text1" w:themeTint="F2"/>
          <w:szCs w:val="20"/>
        </w:rPr>
      </w:pPr>
      <w:r>
        <w:rPr>
          <w:rFonts w:ascii="Noto Sans" w:hAnsi="Noto Sans" w:cs="Arial"/>
          <w:i/>
          <w:noProof/>
          <w:color w:val="0D0D0D" w:themeColor="text1" w:themeTint="F2"/>
          <w:szCs w:val="20"/>
          <w:lang w:eastAsia="de-DE"/>
        </w:rPr>
        <w:drawing>
          <wp:inline distT="0" distB="0" distL="0" distR="0">
            <wp:extent cx="2753411" cy="1839124"/>
            <wp:effectExtent l="19050" t="0" r="8839" b="0"/>
            <wp:docPr id="7" name="Bild 4" descr="N:\Angebote &amp; Kunden-Infos\2G Energietechnik\Pressemitteilungen\Hannover Messe 2015\Bilder\4002_G_TdoT_Halle_FDW_7600_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Angebote &amp; Kunden-Infos\2G Energietechnik\Pressemitteilungen\Hannover Messe 2015\Bilder\4002_G_TdoT_Halle_FDW_7600_RE.jpg"/>
                    <pic:cNvPicPr>
                      <a:picLocks noChangeAspect="1" noChangeArrowheads="1"/>
                    </pic:cNvPicPr>
                  </pic:nvPicPr>
                  <pic:blipFill>
                    <a:blip r:embed="rId13" cstate="print"/>
                    <a:srcRect/>
                    <a:stretch>
                      <a:fillRect/>
                    </a:stretch>
                  </pic:blipFill>
                  <pic:spPr bwMode="auto">
                    <a:xfrm>
                      <a:off x="0" y="0"/>
                      <a:ext cx="2753438" cy="1839142"/>
                    </a:xfrm>
                    <a:prstGeom prst="rect">
                      <a:avLst/>
                    </a:prstGeom>
                    <a:noFill/>
                    <a:ln w="9525">
                      <a:noFill/>
                      <a:miter lim="800000"/>
                      <a:headEnd/>
                      <a:tailEnd/>
                    </a:ln>
                  </pic:spPr>
                </pic:pic>
              </a:graphicData>
            </a:graphic>
          </wp:inline>
        </w:drawing>
      </w:r>
    </w:p>
    <w:p w:rsidR="000F4393" w:rsidRPr="000F4393" w:rsidRDefault="000F4393" w:rsidP="000F4393">
      <w:pPr>
        <w:ind w:left="0"/>
        <w:rPr>
          <w:rFonts w:ascii="Noto Sans" w:hAnsi="Noto Sans" w:cs="Arial"/>
          <w:i/>
          <w:color w:val="0D0D0D" w:themeColor="text1" w:themeTint="F2"/>
          <w:szCs w:val="20"/>
        </w:rPr>
      </w:pPr>
      <w:r w:rsidRPr="000F4393">
        <w:rPr>
          <w:rFonts w:ascii="Noto Sans" w:hAnsi="Noto Sans" w:cs="Arial"/>
          <w:i/>
          <w:color w:val="0D0D0D" w:themeColor="text1" w:themeTint="F2"/>
          <w:szCs w:val="20"/>
        </w:rPr>
        <w:t>Fertigung von 2G im Stammwerk in Heek</w:t>
      </w:r>
    </w:p>
    <w:p w:rsidR="000D74C7" w:rsidRDefault="000D74C7">
      <w:pPr>
        <w:spacing w:after="200"/>
        <w:ind w:left="0"/>
        <w:rPr>
          <w:rFonts w:ascii="Noto Sans" w:hAnsi="Noto Sans" w:cs="Arial"/>
          <w:color w:val="0D0D0D" w:themeColor="text1" w:themeTint="F2"/>
          <w:szCs w:val="20"/>
        </w:rPr>
      </w:pPr>
      <w:r>
        <w:rPr>
          <w:rFonts w:ascii="Noto Sans" w:hAnsi="Noto Sans" w:cs="Arial"/>
          <w:color w:val="0D0D0D" w:themeColor="text1" w:themeTint="F2"/>
          <w:szCs w:val="20"/>
        </w:rPr>
        <w:br w:type="page"/>
      </w:r>
    </w:p>
    <w:p w:rsidR="00EB1E1F" w:rsidRPr="00B1355E" w:rsidRDefault="00EB1E1F" w:rsidP="000F4393">
      <w:pPr>
        <w:ind w:left="0"/>
        <w:rPr>
          <w:rFonts w:ascii="Noto Sans" w:hAnsi="Noto Sans" w:cs="Arial"/>
          <w:b/>
          <w:color w:val="0D0D0D" w:themeColor="text1" w:themeTint="F2"/>
          <w:szCs w:val="20"/>
        </w:rPr>
      </w:pPr>
      <w:r w:rsidRPr="00B1355E">
        <w:rPr>
          <w:rFonts w:ascii="Noto Sans" w:hAnsi="Noto Sans" w:cs="Arial"/>
          <w:b/>
          <w:color w:val="0D0D0D" w:themeColor="text1" w:themeTint="F2"/>
          <w:szCs w:val="20"/>
        </w:rPr>
        <w:t xml:space="preserve">Unternehmensprofil 2G </w:t>
      </w:r>
      <w:proofErr w:type="spellStart"/>
      <w:r w:rsidRPr="00B1355E">
        <w:rPr>
          <w:rFonts w:ascii="Noto Sans" w:hAnsi="Noto Sans" w:cs="Arial"/>
          <w:b/>
          <w:color w:val="0D0D0D" w:themeColor="text1" w:themeTint="F2"/>
          <w:szCs w:val="20"/>
        </w:rPr>
        <w:t>Energy</w:t>
      </w:r>
      <w:proofErr w:type="spellEnd"/>
      <w:r w:rsidRPr="00B1355E">
        <w:rPr>
          <w:rFonts w:ascii="Noto Sans" w:hAnsi="Noto Sans" w:cs="Arial"/>
          <w:b/>
          <w:color w:val="0D0D0D" w:themeColor="text1" w:themeTint="F2"/>
          <w:szCs w:val="20"/>
        </w:rPr>
        <w:t xml:space="preserve"> AG</w:t>
      </w:r>
    </w:p>
    <w:p w:rsidR="006C63F3" w:rsidRPr="00EA6E2E" w:rsidRDefault="00EB1E1F" w:rsidP="009005B4">
      <w:pPr>
        <w:spacing w:before="100" w:beforeAutospacing="1" w:after="100" w:afterAutospacing="1" w:line="240" w:lineRule="auto"/>
        <w:ind w:left="0"/>
        <w:jc w:val="both"/>
        <w:rPr>
          <w:rFonts w:ascii="Noto Sans" w:eastAsia="Times New Roman" w:hAnsi="Noto Sans" w:cs="Arial"/>
          <w:szCs w:val="20"/>
          <w:lang w:eastAsia="de-DE"/>
        </w:rPr>
      </w:pPr>
      <w:r w:rsidRPr="00B1355E">
        <w:rPr>
          <w:rFonts w:ascii="Noto Sans" w:eastAsia="Times New Roman" w:hAnsi="Noto Sans" w:cs="Arial"/>
          <w:szCs w:val="20"/>
          <w:lang w:eastAsia="de-DE"/>
        </w:rPr>
        <w:t>Die 2G Energy AG gehört zu den international führenden Herstellern von Kraft-Wärme-Kopplungs-Anlagen (KWK) zur dezentralen Erzeugung und Versorgung mit Strom und Wärme mittels der KWK-Technologie. Das Produktportfolio von 2G umfasst Anlagen mit einer elektrischen Leistung zwischen 20 kW und 4.000 kW für den Betrieb mit Erdgas, Biogas und anderen Schwachgasen sowie Biomethan. Bislang hat 2G in 33 Ländern mehrere Tausend KWK-Anlagen erfolgreich installiert. Insbesondere im Leistungsbereich zwischen 50 kW und 550 kW verfügt 2G über eigene Verbrennungsmotorenkonzepte mit niedrigen Kraftstoffverbräuchen, hoher Verfügbarkeit und optimierter Wartungsintensität. Neben dem Hauptsitz in Heek hat 2G einen weiteren Produktions- und Vertriebs- &amp; Service-Standort in St. Augustine, Florida, USA. Das Kundenspektrum reicht vom Landwirt über Industriebetriebe, Kommunen, die Wohnungswirtschaft bis zu Stadtwerken und den großen Energieversorgern. Die ausgesprochene Kundenzufriedenheit ist eng mit dem dichten Servicenetzwerk sowie der hohen technischen Qualität und Leistungsfähigkeit der 2G Kraftwerke verbunden. Diese erreichen durch die Kraft-Wärme-Kopplung Gesamtwirkungsgrade zwischen 85 % und weit mehr als 90 %. 2G baut seine Technologieführerschaft durch kontinuierliche Forschungs- und Entwicklungsarbeit in der Gasmotorentechnologie für Erdgas-, Biogas- und Synthesegas-Anwendungen (z.B. Wasserstoff) konsequent aus. Neben der Konstruktion und Herstellung von KWK-Anlagen bietet das Unternehmen aus Westfalen ganzheitliche Lösungen von der Planung und Installation bis zu Service- und Wartungsleistungen an. Im Rahmen der Energiewende und in modernen Energieversorgungskonzepten gewinnen  KWK-Anlagen in intelligent vernetzten Energiesystemen - sogenannte virtuelle Kraftwerke - aufgrund ihrer Dezentralität, Regelbarkeit und planbaren Verfügbarkeit stark zunehmende Bedeutung.</w:t>
      </w:r>
    </w:p>
    <w:p w:rsidR="00EB1E1F" w:rsidRPr="00B1355E" w:rsidRDefault="00EB1E1F" w:rsidP="00EB1E1F">
      <w:pPr>
        <w:spacing w:before="480"/>
        <w:ind w:left="851"/>
        <w:jc w:val="both"/>
        <w:rPr>
          <w:rFonts w:ascii="Noto Sans" w:hAnsi="Noto Sans"/>
          <w:b/>
        </w:rPr>
      </w:pPr>
      <w:r w:rsidRPr="00B1355E">
        <w:rPr>
          <w:rFonts w:ascii="Noto Sans" w:hAnsi="Noto Sans"/>
          <w:b/>
        </w:rPr>
        <w:t>Ansprechpartner:</w:t>
      </w:r>
    </w:p>
    <w:p w:rsidR="00EB1E1F" w:rsidRDefault="00EB1E1F" w:rsidP="00EB1E1F">
      <w:pPr>
        <w:tabs>
          <w:tab w:val="left" w:pos="1701"/>
        </w:tabs>
        <w:spacing w:line="240" w:lineRule="auto"/>
        <w:ind w:left="851"/>
        <w:rPr>
          <w:rFonts w:ascii="Noto Sans" w:hAnsi="Noto Sans"/>
        </w:rPr>
        <w:sectPr w:rsidR="00EB1E1F" w:rsidSect="00EB1E1F">
          <w:type w:val="continuous"/>
          <w:pgSz w:w="11906" w:h="16838"/>
          <w:pgMar w:top="1985" w:right="1021" w:bottom="1134" w:left="1021" w:header="1134" w:footer="227" w:gutter="0"/>
          <w:cols w:space="708"/>
          <w:docGrid w:linePitch="360"/>
        </w:sectPr>
      </w:pPr>
    </w:p>
    <w:p w:rsidR="00EB1E1F" w:rsidRPr="00B1355E" w:rsidRDefault="00EB1E1F" w:rsidP="00EB1E1F">
      <w:pPr>
        <w:tabs>
          <w:tab w:val="left" w:pos="1701"/>
        </w:tabs>
        <w:spacing w:line="240" w:lineRule="auto"/>
        <w:ind w:left="851"/>
        <w:rPr>
          <w:rFonts w:ascii="Noto Sans" w:hAnsi="Noto Sans"/>
        </w:rPr>
      </w:pPr>
      <w:r w:rsidRPr="00B1355E">
        <w:rPr>
          <w:rFonts w:ascii="Noto Sans" w:hAnsi="Noto Sans"/>
        </w:rPr>
        <w:lastRenderedPageBreak/>
        <w:t>Stefan Liesner</w:t>
      </w:r>
      <w:r w:rsidRPr="00B1355E">
        <w:rPr>
          <w:rFonts w:ascii="Noto Sans" w:hAnsi="Noto Sans"/>
        </w:rPr>
        <w:br/>
        <w:t>2G Energy AG</w:t>
      </w:r>
      <w:r w:rsidRPr="00B1355E">
        <w:rPr>
          <w:rFonts w:ascii="Noto Sans" w:hAnsi="Noto Sans"/>
        </w:rPr>
        <w:br/>
        <w:t>Leiter Marketing</w:t>
      </w:r>
      <w:r w:rsidRPr="00B1355E">
        <w:rPr>
          <w:rFonts w:ascii="Noto Sans" w:hAnsi="Noto Sans"/>
        </w:rPr>
        <w:br/>
        <w:t>Benzstraße 3</w:t>
      </w:r>
      <w:r w:rsidRPr="00B1355E">
        <w:rPr>
          <w:rFonts w:ascii="Noto Sans" w:hAnsi="Noto Sans"/>
        </w:rPr>
        <w:br/>
        <w:t>48619 Heek</w:t>
      </w:r>
      <w:r w:rsidRPr="00B1355E">
        <w:rPr>
          <w:rFonts w:ascii="Noto Sans" w:hAnsi="Noto Sans"/>
        </w:rPr>
        <w:br/>
        <w:t>Telefon:</w:t>
      </w:r>
      <w:r w:rsidRPr="00B1355E">
        <w:rPr>
          <w:rFonts w:ascii="Noto Sans" w:hAnsi="Noto Sans"/>
        </w:rPr>
        <w:tab/>
        <w:t>+49 2568 9347-2135</w:t>
      </w:r>
      <w:r w:rsidRPr="00B1355E">
        <w:rPr>
          <w:rFonts w:ascii="Noto Sans" w:hAnsi="Noto Sans"/>
        </w:rPr>
        <w:br/>
        <w:t>Telefax:</w:t>
      </w:r>
      <w:r w:rsidRPr="00B1355E">
        <w:rPr>
          <w:rFonts w:ascii="Noto Sans" w:hAnsi="Noto Sans"/>
        </w:rPr>
        <w:tab/>
        <w:t>+49 2568 9347-15</w:t>
      </w:r>
      <w:r w:rsidRPr="00B1355E">
        <w:rPr>
          <w:rFonts w:ascii="Noto Sans" w:hAnsi="Noto Sans"/>
        </w:rPr>
        <w:br/>
        <w:t>Mobil:</w:t>
      </w:r>
      <w:r w:rsidRPr="00B1355E">
        <w:rPr>
          <w:rFonts w:ascii="Noto Sans" w:hAnsi="Noto Sans"/>
        </w:rPr>
        <w:tab/>
        <w:t>+49 152 22592847</w:t>
      </w:r>
      <w:r w:rsidRPr="00B1355E">
        <w:rPr>
          <w:rFonts w:ascii="Noto Sans" w:hAnsi="Noto Sans"/>
        </w:rPr>
        <w:br/>
        <w:t>E-Mail:</w:t>
      </w:r>
      <w:r w:rsidRPr="00B1355E">
        <w:rPr>
          <w:rFonts w:ascii="Noto Sans" w:hAnsi="Noto Sans"/>
        </w:rPr>
        <w:tab/>
        <w:t>s.liesner@2-g.de</w:t>
      </w:r>
      <w:r w:rsidRPr="00B1355E">
        <w:rPr>
          <w:rFonts w:ascii="Noto Sans" w:hAnsi="Noto Sans"/>
        </w:rPr>
        <w:br/>
        <w:t>www.2-g.de</w:t>
      </w:r>
    </w:p>
    <w:p w:rsidR="00EB1E1F" w:rsidRPr="00B1355E" w:rsidRDefault="00EB1E1F" w:rsidP="00EB1E1F">
      <w:pPr>
        <w:tabs>
          <w:tab w:val="left" w:pos="1134"/>
        </w:tabs>
        <w:spacing w:line="240" w:lineRule="auto"/>
        <w:ind w:left="284"/>
        <w:rPr>
          <w:rFonts w:ascii="Noto Sans" w:hAnsi="Noto Sans"/>
        </w:rPr>
      </w:pPr>
      <w:r w:rsidRPr="00B1355E">
        <w:rPr>
          <w:rFonts w:ascii="Noto Sans" w:hAnsi="Noto Sans"/>
        </w:rPr>
        <w:br w:type="column"/>
      </w:r>
      <w:r w:rsidRPr="00B1355E">
        <w:rPr>
          <w:rFonts w:ascii="Noto Sans" w:hAnsi="Noto Sans"/>
        </w:rPr>
        <w:lastRenderedPageBreak/>
        <w:t>Rüdiger Haake</w:t>
      </w:r>
      <w:r w:rsidRPr="00B1355E">
        <w:rPr>
          <w:rFonts w:ascii="Noto Sans" w:hAnsi="Noto Sans"/>
        </w:rPr>
        <w:br/>
        <w:t>Zum Imberg 20</w:t>
      </w:r>
      <w:r w:rsidRPr="00B1355E">
        <w:rPr>
          <w:rFonts w:ascii="Noto Sans" w:hAnsi="Noto Sans"/>
        </w:rPr>
        <w:br/>
        <w:t>45721 Haltern am See</w:t>
      </w:r>
      <w:r w:rsidRPr="00B1355E">
        <w:rPr>
          <w:rFonts w:ascii="Noto Sans" w:hAnsi="Noto Sans"/>
        </w:rPr>
        <w:br/>
        <w:t>Telefon:</w:t>
      </w:r>
      <w:r w:rsidRPr="00B1355E">
        <w:rPr>
          <w:rFonts w:ascii="Noto Sans" w:hAnsi="Noto Sans"/>
        </w:rPr>
        <w:tab/>
        <w:t>+49 2364 1056141</w:t>
      </w:r>
      <w:r w:rsidRPr="00B1355E">
        <w:rPr>
          <w:rFonts w:ascii="Noto Sans" w:hAnsi="Noto Sans"/>
        </w:rPr>
        <w:br/>
        <w:t>Telefax:</w:t>
      </w:r>
      <w:r w:rsidRPr="00B1355E">
        <w:rPr>
          <w:rFonts w:ascii="Noto Sans" w:hAnsi="Noto Sans"/>
        </w:rPr>
        <w:tab/>
        <w:t>+49 2364 5089786</w:t>
      </w:r>
      <w:r w:rsidRPr="00B1355E">
        <w:rPr>
          <w:rFonts w:ascii="Noto Sans" w:hAnsi="Noto Sans"/>
        </w:rPr>
        <w:br/>
        <w:t>Mobil:</w:t>
      </w:r>
      <w:r w:rsidRPr="00B1355E">
        <w:rPr>
          <w:rFonts w:ascii="Noto Sans" w:hAnsi="Noto Sans"/>
        </w:rPr>
        <w:tab/>
        <w:t>+49 172 6905563</w:t>
      </w:r>
      <w:r w:rsidRPr="00B1355E">
        <w:rPr>
          <w:rFonts w:ascii="Noto Sans" w:hAnsi="Noto Sans"/>
        </w:rPr>
        <w:br/>
        <w:t>E-Mail:</w:t>
      </w:r>
      <w:r w:rsidRPr="00B1355E">
        <w:rPr>
          <w:rFonts w:ascii="Noto Sans" w:hAnsi="Noto Sans"/>
        </w:rPr>
        <w:tab/>
        <w:t>ruediger.haake@web.de</w:t>
      </w:r>
    </w:p>
    <w:p w:rsidR="008B2CAC" w:rsidRPr="00A82C1D" w:rsidRDefault="008B2CAC" w:rsidP="00EB1E1F">
      <w:pPr>
        <w:ind w:left="0"/>
        <w:jc w:val="both"/>
        <w:rPr>
          <w:rFonts w:ascii="Noto Sans" w:hAnsi="Noto Sans"/>
        </w:rPr>
      </w:pPr>
    </w:p>
    <w:sectPr w:rsidR="008B2CAC" w:rsidRPr="00A82C1D" w:rsidSect="00EB1E1F">
      <w:type w:val="continuous"/>
      <w:pgSz w:w="11906" w:h="16838"/>
      <w:pgMar w:top="1985" w:right="1021" w:bottom="1134" w:left="1021" w:header="1134" w:footer="227"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6439" w:rsidRDefault="00676439" w:rsidP="00E945DC">
      <w:pPr>
        <w:spacing w:after="0" w:line="240" w:lineRule="auto"/>
      </w:pPr>
      <w:r>
        <w:separator/>
      </w:r>
    </w:p>
  </w:endnote>
  <w:endnote w:type="continuationSeparator" w:id="0">
    <w:p w:rsidR="00676439" w:rsidRDefault="00676439" w:rsidP="00E945D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Noto Sans">
    <w:altName w:val="Segoe UI"/>
    <w:charset w:val="00"/>
    <w:family w:val="swiss"/>
    <w:pitch w:val="variable"/>
    <w:sig w:usb0="E00002FF" w:usb1="400078FF" w:usb2="0000002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Roboto">
    <w:altName w:val="Times New Roman"/>
    <w:charset w:val="00"/>
    <w:family w:val="auto"/>
    <w:pitch w:val="variable"/>
    <w:sig w:usb0="E00002FF" w:usb1="5000205B" w:usb2="0000002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Noto Sans" w:hAnsi="Noto Sans"/>
      </w:rPr>
      <w:id w:val="-945693593"/>
    </w:sdtPr>
    <w:sdtContent>
      <w:tbl>
        <w:tblPr>
          <w:tblStyle w:val="Tabellengitternetz"/>
          <w:tblW w:w="9923" w:type="dxa"/>
          <w:tblBorders>
            <w:left w:val="none" w:sz="0" w:space="0" w:color="auto"/>
            <w:bottom w:val="none" w:sz="0" w:space="0" w:color="auto"/>
            <w:right w:val="none" w:sz="0" w:space="0" w:color="auto"/>
            <w:insideH w:val="none" w:sz="0" w:space="0" w:color="auto"/>
            <w:insideV w:val="none" w:sz="0" w:space="0" w:color="auto"/>
          </w:tblBorders>
          <w:tblLook w:val="04A0"/>
        </w:tblPr>
        <w:tblGrid>
          <w:gridCol w:w="4400"/>
          <w:gridCol w:w="1134"/>
          <w:gridCol w:w="4389"/>
        </w:tblGrid>
        <w:tr w:rsidR="009005B4" w:rsidRPr="00177073" w:rsidTr="001637D7">
          <w:trPr>
            <w:trHeight w:val="18"/>
          </w:trPr>
          <w:tc>
            <w:tcPr>
              <w:tcW w:w="4400" w:type="dxa"/>
              <w:tcMar>
                <w:top w:w="57" w:type="dxa"/>
                <w:left w:w="0" w:type="dxa"/>
                <w:right w:w="0" w:type="dxa"/>
              </w:tcMar>
            </w:tcPr>
            <w:p w:rsidR="009005B4" w:rsidRPr="00177073" w:rsidRDefault="00E92C2F" w:rsidP="002548BE">
              <w:pPr>
                <w:pStyle w:val="Fuzeile"/>
                <w:rPr>
                  <w:rFonts w:ascii="Noto Sans" w:hAnsi="Noto Sans"/>
                </w:rPr>
              </w:pPr>
              <w:sdt>
                <w:sdtPr>
                  <w:rPr>
                    <w:rFonts w:ascii="Noto Sans" w:hAnsi="Noto Sans"/>
                  </w:rPr>
                  <w:id w:val="-1197992978"/>
                  <w:docPartObj>
                    <w:docPartGallery w:val="Page Numbers (Top of Page)"/>
                    <w:docPartUnique/>
                  </w:docPartObj>
                </w:sdtPr>
                <w:sdtContent>
                  <w:r w:rsidRPr="00177073">
                    <w:rPr>
                      <w:rFonts w:ascii="Noto Sans" w:hAnsi="Noto Sans"/>
                      <w:bCs/>
                    </w:rPr>
                    <w:fldChar w:fldCharType="begin"/>
                  </w:r>
                  <w:r w:rsidR="009005B4" w:rsidRPr="00177073">
                    <w:rPr>
                      <w:rFonts w:ascii="Noto Sans" w:hAnsi="Noto Sans"/>
                      <w:bCs/>
                    </w:rPr>
                    <w:instrText>PAGE</w:instrText>
                  </w:r>
                  <w:r w:rsidRPr="00177073">
                    <w:rPr>
                      <w:rFonts w:ascii="Noto Sans" w:hAnsi="Noto Sans"/>
                      <w:bCs/>
                    </w:rPr>
                    <w:fldChar w:fldCharType="separate"/>
                  </w:r>
                  <w:r w:rsidR="009005B4">
                    <w:rPr>
                      <w:rFonts w:ascii="Noto Sans" w:hAnsi="Noto Sans"/>
                      <w:bCs/>
                      <w:noProof/>
                    </w:rPr>
                    <w:t>2</w:t>
                  </w:r>
                  <w:r w:rsidRPr="00177073">
                    <w:rPr>
                      <w:rFonts w:ascii="Noto Sans" w:hAnsi="Noto Sans"/>
                      <w:bCs/>
                    </w:rPr>
                    <w:fldChar w:fldCharType="end"/>
                  </w:r>
                  <w:r w:rsidR="009005B4" w:rsidRPr="00177073">
                    <w:rPr>
                      <w:rFonts w:ascii="Noto Sans" w:hAnsi="Noto Sans"/>
                    </w:rPr>
                    <w:t xml:space="preserve"> / </w:t>
                  </w:r>
                  <w:r w:rsidRPr="00177073">
                    <w:rPr>
                      <w:rFonts w:ascii="Noto Sans" w:hAnsi="Noto Sans"/>
                      <w:bCs/>
                    </w:rPr>
                    <w:fldChar w:fldCharType="begin"/>
                  </w:r>
                  <w:r w:rsidR="009005B4" w:rsidRPr="00177073">
                    <w:rPr>
                      <w:rFonts w:ascii="Noto Sans" w:hAnsi="Noto Sans"/>
                      <w:bCs/>
                    </w:rPr>
                    <w:instrText>NUMPAGES</w:instrText>
                  </w:r>
                  <w:r w:rsidRPr="00177073">
                    <w:rPr>
                      <w:rFonts w:ascii="Noto Sans" w:hAnsi="Noto Sans"/>
                      <w:bCs/>
                    </w:rPr>
                    <w:fldChar w:fldCharType="separate"/>
                  </w:r>
                  <w:r w:rsidR="00DB2124">
                    <w:rPr>
                      <w:rFonts w:ascii="Noto Sans" w:hAnsi="Noto Sans"/>
                      <w:bCs/>
                      <w:noProof/>
                    </w:rPr>
                    <w:t>3</w:t>
                  </w:r>
                  <w:r w:rsidRPr="00177073">
                    <w:rPr>
                      <w:rFonts w:ascii="Noto Sans" w:hAnsi="Noto Sans"/>
                      <w:bCs/>
                    </w:rPr>
                    <w:fldChar w:fldCharType="end"/>
                  </w:r>
                </w:sdtContent>
              </w:sdt>
            </w:p>
          </w:tc>
          <w:tc>
            <w:tcPr>
              <w:tcW w:w="1134" w:type="dxa"/>
              <w:tcMar>
                <w:top w:w="57" w:type="dxa"/>
                <w:left w:w="0" w:type="dxa"/>
                <w:right w:w="0" w:type="dxa"/>
              </w:tcMar>
            </w:tcPr>
            <w:p w:rsidR="009005B4" w:rsidRPr="00177073" w:rsidRDefault="009005B4" w:rsidP="00B82704">
              <w:pPr>
                <w:pStyle w:val="Fuzeile"/>
                <w:jc w:val="center"/>
                <w:rPr>
                  <w:rFonts w:ascii="Noto Sans" w:hAnsi="Noto Sans"/>
                </w:rPr>
              </w:pPr>
              <w:r w:rsidRPr="00177073">
                <w:rPr>
                  <w:rFonts w:ascii="Noto Sans" w:hAnsi="Noto Sans"/>
                </w:rPr>
                <w:t>2G Energy AG</w:t>
              </w:r>
            </w:p>
          </w:tc>
          <w:tc>
            <w:tcPr>
              <w:tcW w:w="4389" w:type="dxa"/>
              <w:tcMar>
                <w:top w:w="57" w:type="dxa"/>
                <w:left w:w="0" w:type="dxa"/>
                <w:right w:w="0" w:type="dxa"/>
              </w:tcMar>
            </w:tcPr>
            <w:p w:rsidR="009005B4" w:rsidRPr="00177073" w:rsidRDefault="00E92C2F" w:rsidP="001637D7">
              <w:pPr>
                <w:pStyle w:val="Fuzeile"/>
                <w:jc w:val="right"/>
                <w:rPr>
                  <w:rFonts w:ascii="Noto Sans" w:hAnsi="Noto Sans"/>
                </w:rPr>
              </w:pPr>
              <w:fldSimple w:instr=" DOCPROPERTY PRODSTRING5 \* MERGEFORMAT ">
                <w:r w:rsidR="00DB2124" w:rsidRPr="00DB2124">
                  <w:rPr>
                    <w:rFonts w:ascii="Noto Sans" w:hAnsi="Noto Sans"/>
                  </w:rPr>
                  <w:t>Platzhalter Beschreibung</w:t>
                </w:r>
              </w:fldSimple>
            </w:p>
          </w:tc>
        </w:tr>
        <w:tr w:rsidR="009005B4" w:rsidRPr="00177073" w:rsidTr="001637D7">
          <w:tc>
            <w:tcPr>
              <w:tcW w:w="4400" w:type="dxa"/>
              <w:tcMar>
                <w:top w:w="0" w:type="dxa"/>
                <w:left w:w="0" w:type="dxa"/>
                <w:right w:w="0" w:type="dxa"/>
              </w:tcMar>
            </w:tcPr>
            <w:p w:rsidR="009005B4" w:rsidRPr="00177073" w:rsidRDefault="009005B4" w:rsidP="002548BE">
              <w:pPr>
                <w:pStyle w:val="Fuzeile"/>
                <w:rPr>
                  <w:rFonts w:ascii="Noto Sans" w:hAnsi="Noto Sans"/>
                </w:rPr>
              </w:pPr>
            </w:p>
          </w:tc>
          <w:tc>
            <w:tcPr>
              <w:tcW w:w="1134" w:type="dxa"/>
              <w:tcMar>
                <w:top w:w="0" w:type="dxa"/>
                <w:left w:w="0" w:type="dxa"/>
                <w:right w:w="0" w:type="dxa"/>
              </w:tcMar>
            </w:tcPr>
            <w:p w:rsidR="009005B4" w:rsidRPr="00177073" w:rsidRDefault="009005B4" w:rsidP="00B82704">
              <w:pPr>
                <w:pStyle w:val="Fuzeile"/>
                <w:jc w:val="center"/>
                <w:rPr>
                  <w:rFonts w:ascii="Noto Sans" w:hAnsi="Noto Sans"/>
                </w:rPr>
              </w:pPr>
              <w:r w:rsidRPr="00177073">
                <w:rPr>
                  <w:rFonts w:ascii="Noto Sans" w:hAnsi="Noto Sans"/>
                </w:rPr>
                <w:t>www.2-g.com</w:t>
              </w:r>
            </w:p>
          </w:tc>
          <w:tc>
            <w:tcPr>
              <w:tcW w:w="4389" w:type="dxa"/>
              <w:tcMar>
                <w:top w:w="0" w:type="dxa"/>
                <w:left w:w="0" w:type="dxa"/>
                <w:right w:w="0" w:type="dxa"/>
              </w:tcMar>
            </w:tcPr>
            <w:p w:rsidR="009005B4" w:rsidRPr="00177073" w:rsidRDefault="00E92C2F" w:rsidP="0096679F">
              <w:pPr>
                <w:pStyle w:val="Fuzeile"/>
                <w:jc w:val="right"/>
                <w:rPr>
                  <w:rFonts w:ascii="Noto Sans" w:hAnsi="Noto Sans"/>
                </w:rPr>
              </w:pPr>
              <w:fldSimple w:instr=" DOCPROPERTY PROANLDAT \* MERGEFORMAT ">
                <w:r w:rsidR="00DB2124" w:rsidRPr="00DB2124">
                  <w:rPr>
                    <w:rFonts w:ascii="Noto Sans" w:hAnsi="Noto Sans"/>
                    <w:lang w:val="en-US"/>
                  </w:rPr>
                  <w:t>13.10.2014</w:t>
                </w:r>
              </w:fldSimple>
            </w:p>
          </w:tc>
        </w:tr>
        <w:tr w:rsidR="009005B4" w:rsidRPr="00177073" w:rsidTr="001637D7">
          <w:tc>
            <w:tcPr>
              <w:tcW w:w="4400" w:type="dxa"/>
              <w:tcMar>
                <w:top w:w="0" w:type="dxa"/>
                <w:left w:w="0" w:type="dxa"/>
                <w:right w:w="0" w:type="dxa"/>
              </w:tcMar>
            </w:tcPr>
            <w:p w:rsidR="009005B4" w:rsidRPr="00177073" w:rsidRDefault="009005B4" w:rsidP="002548BE">
              <w:pPr>
                <w:pStyle w:val="Fuzeile"/>
                <w:rPr>
                  <w:rFonts w:ascii="Noto Sans" w:hAnsi="Noto Sans"/>
                </w:rPr>
              </w:pPr>
            </w:p>
          </w:tc>
          <w:tc>
            <w:tcPr>
              <w:tcW w:w="1134" w:type="dxa"/>
              <w:tcMar>
                <w:top w:w="0" w:type="dxa"/>
                <w:left w:w="0" w:type="dxa"/>
                <w:right w:w="0" w:type="dxa"/>
              </w:tcMar>
            </w:tcPr>
            <w:p w:rsidR="009005B4" w:rsidRPr="00177073" w:rsidRDefault="009005B4" w:rsidP="00B82704">
              <w:pPr>
                <w:pStyle w:val="Fuzeile"/>
                <w:jc w:val="center"/>
                <w:rPr>
                  <w:rFonts w:ascii="Noto Sans" w:hAnsi="Noto Sans"/>
                </w:rPr>
              </w:pPr>
            </w:p>
          </w:tc>
          <w:tc>
            <w:tcPr>
              <w:tcW w:w="4389" w:type="dxa"/>
              <w:tcMar>
                <w:top w:w="0" w:type="dxa"/>
                <w:left w:w="0" w:type="dxa"/>
                <w:right w:w="0" w:type="dxa"/>
              </w:tcMar>
            </w:tcPr>
            <w:p w:rsidR="009005B4" w:rsidRPr="00177073" w:rsidRDefault="009005B4" w:rsidP="001637D7">
              <w:pPr>
                <w:pStyle w:val="Fuzeile"/>
                <w:jc w:val="right"/>
                <w:rPr>
                  <w:rFonts w:ascii="Noto Sans" w:hAnsi="Noto Sans"/>
                </w:rPr>
              </w:pPr>
              <w:r w:rsidRPr="00177073">
                <w:rPr>
                  <w:rFonts w:ascii="Noto Sans" w:hAnsi="Noto Sans"/>
                </w:rPr>
                <w:t xml:space="preserve">Doc.-ID.: </w:t>
              </w:r>
              <w:fldSimple w:instr=" DOCPROPERTY PRODOKID \* MERGEFORMAT ">
                <w:r w:rsidR="00DB2124" w:rsidRPr="00DB2124">
                  <w:rPr>
                    <w:rFonts w:ascii="Noto Sans" w:hAnsi="Noto Sans"/>
                  </w:rPr>
                  <w:t>245143</w:t>
                </w:r>
              </w:fldSimple>
            </w:p>
          </w:tc>
        </w:tr>
      </w:tbl>
    </w:sdtContent>
  </w:sdt>
  <w:p w:rsidR="009005B4" w:rsidRPr="00177073" w:rsidRDefault="009005B4" w:rsidP="00617346">
    <w:pPr>
      <w:pStyle w:val="Fuzeile"/>
      <w:rPr>
        <w:rFonts w:ascii="Noto Sans" w:hAnsi="Noto Sans"/>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Noto Sans" w:hAnsi="Noto Sans"/>
      </w:rPr>
      <w:id w:val="107395550"/>
    </w:sdtPr>
    <w:sdtContent>
      <w:tbl>
        <w:tblPr>
          <w:tblStyle w:val="Tabellengitternetz"/>
          <w:tblW w:w="9928" w:type="dxa"/>
          <w:tblBorders>
            <w:left w:val="none" w:sz="0" w:space="0" w:color="auto"/>
            <w:bottom w:val="none" w:sz="0" w:space="0" w:color="auto"/>
            <w:right w:val="none" w:sz="0" w:space="0" w:color="auto"/>
            <w:insideH w:val="none" w:sz="0" w:space="0" w:color="auto"/>
            <w:insideV w:val="none" w:sz="0" w:space="0" w:color="auto"/>
          </w:tblBorders>
          <w:tblLook w:val="04A0"/>
        </w:tblPr>
        <w:tblGrid>
          <w:gridCol w:w="4400"/>
          <w:gridCol w:w="1134"/>
          <w:gridCol w:w="4394"/>
        </w:tblGrid>
        <w:tr w:rsidR="009005B4" w:rsidRPr="00177073" w:rsidTr="00B82704">
          <w:trPr>
            <w:trHeight w:val="18"/>
          </w:trPr>
          <w:tc>
            <w:tcPr>
              <w:tcW w:w="4400" w:type="dxa"/>
              <w:tcMar>
                <w:top w:w="57" w:type="dxa"/>
                <w:left w:w="0" w:type="dxa"/>
                <w:right w:w="0" w:type="dxa"/>
              </w:tcMar>
            </w:tcPr>
            <w:p w:rsidR="009005B4" w:rsidRPr="00177073" w:rsidRDefault="009005B4" w:rsidP="00685574">
              <w:pPr>
                <w:pStyle w:val="Fuzeile"/>
                <w:rPr>
                  <w:rFonts w:ascii="Noto Sans" w:hAnsi="Noto Sans"/>
                </w:rPr>
              </w:pPr>
              <w:r>
                <w:rPr>
                  <w:rFonts w:ascii="Noto Sans" w:hAnsi="Noto Sans"/>
                </w:rPr>
                <w:t>Presseinformation</w:t>
              </w:r>
            </w:p>
          </w:tc>
          <w:tc>
            <w:tcPr>
              <w:tcW w:w="1134" w:type="dxa"/>
              <w:tcMar>
                <w:top w:w="57" w:type="dxa"/>
                <w:left w:w="0" w:type="dxa"/>
                <w:right w:w="0" w:type="dxa"/>
              </w:tcMar>
            </w:tcPr>
            <w:p w:rsidR="009005B4" w:rsidRPr="00177073" w:rsidRDefault="009005B4" w:rsidP="00B82704">
              <w:pPr>
                <w:pStyle w:val="Fuzeile"/>
                <w:jc w:val="center"/>
                <w:rPr>
                  <w:rFonts w:ascii="Noto Sans" w:hAnsi="Noto Sans"/>
                </w:rPr>
              </w:pPr>
              <w:r w:rsidRPr="00177073">
                <w:rPr>
                  <w:rFonts w:ascii="Noto Sans" w:hAnsi="Noto Sans"/>
                </w:rPr>
                <w:t>2G Energy AG</w:t>
              </w:r>
            </w:p>
          </w:tc>
          <w:tc>
            <w:tcPr>
              <w:tcW w:w="4394" w:type="dxa"/>
              <w:tcMar>
                <w:top w:w="57" w:type="dxa"/>
                <w:left w:w="0" w:type="dxa"/>
                <w:right w:w="0" w:type="dxa"/>
              </w:tcMar>
            </w:tcPr>
            <w:p w:rsidR="009005B4" w:rsidRPr="00177073" w:rsidRDefault="00E92C2F" w:rsidP="00685574">
              <w:pPr>
                <w:pStyle w:val="Fuzeile"/>
                <w:jc w:val="right"/>
                <w:rPr>
                  <w:rFonts w:ascii="Noto Sans" w:hAnsi="Noto Sans"/>
                </w:rPr>
              </w:pPr>
              <w:sdt>
                <w:sdtPr>
                  <w:rPr>
                    <w:rFonts w:ascii="Noto Sans" w:hAnsi="Noto Sans"/>
                  </w:rPr>
                  <w:id w:val="-333375320"/>
                  <w:docPartObj>
                    <w:docPartGallery w:val="Page Numbers (Bottom of Page)"/>
                    <w:docPartUnique/>
                  </w:docPartObj>
                </w:sdtPr>
                <w:sdtContent>
                  <w:sdt>
                    <w:sdtPr>
                      <w:rPr>
                        <w:rFonts w:ascii="Noto Sans" w:hAnsi="Noto Sans"/>
                      </w:rPr>
                      <w:id w:val="989908551"/>
                      <w:docPartObj>
                        <w:docPartGallery w:val="Page Numbers (Top of Page)"/>
                        <w:docPartUnique/>
                      </w:docPartObj>
                    </w:sdtPr>
                    <w:sdtContent>
                      <w:r w:rsidRPr="00177073">
                        <w:rPr>
                          <w:rFonts w:ascii="Noto Sans" w:hAnsi="Noto Sans"/>
                          <w:bCs/>
                        </w:rPr>
                        <w:fldChar w:fldCharType="begin"/>
                      </w:r>
                      <w:r w:rsidR="009005B4" w:rsidRPr="00177073">
                        <w:rPr>
                          <w:rFonts w:ascii="Noto Sans" w:hAnsi="Noto Sans"/>
                          <w:bCs/>
                        </w:rPr>
                        <w:instrText>PAGE</w:instrText>
                      </w:r>
                      <w:r w:rsidRPr="00177073">
                        <w:rPr>
                          <w:rFonts w:ascii="Noto Sans" w:hAnsi="Noto Sans"/>
                          <w:bCs/>
                        </w:rPr>
                        <w:fldChar w:fldCharType="separate"/>
                      </w:r>
                      <w:r w:rsidR="000D74C7">
                        <w:rPr>
                          <w:rFonts w:ascii="Noto Sans" w:hAnsi="Noto Sans"/>
                          <w:bCs/>
                          <w:noProof/>
                        </w:rPr>
                        <w:t>2</w:t>
                      </w:r>
                      <w:r w:rsidRPr="00177073">
                        <w:rPr>
                          <w:rFonts w:ascii="Noto Sans" w:hAnsi="Noto Sans"/>
                          <w:bCs/>
                        </w:rPr>
                        <w:fldChar w:fldCharType="end"/>
                      </w:r>
                      <w:r w:rsidR="009005B4" w:rsidRPr="00177073">
                        <w:rPr>
                          <w:rFonts w:ascii="Noto Sans" w:hAnsi="Noto Sans"/>
                        </w:rPr>
                        <w:t xml:space="preserve"> / </w:t>
                      </w:r>
                      <w:r w:rsidRPr="00177073">
                        <w:rPr>
                          <w:rFonts w:ascii="Noto Sans" w:hAnsi="Noto Sans"/>
                          <w:bCs/>
                        </w:rPr>
                        <w:fldChar w:fldCharType="begin"/>
                      </w:r>
                      <w:r w:rsidR="009005B4" w:rsidRPr="00177073">
                        <w:rPr>
                          <w:rFonts w:ascii="Noto Sans" w:hAnsi="Noto Sans"/>
                          <w:bCs/>
                        </w:rPr>
                        <w:instrText>NUMPAGES</w:instrText>
                      </w:r>
                      <w:r w:rsidRPr="00177073">
                        <w:rPr>
                          <w:rFonts w:ascii="Noto Sans" w:hAnsi="Noto Sans"/>
                          <w:bCs/>
                        </w:rPr>
                        <w:fldChar w:fldCharType="separate"/>
                      </w:r>
                      <w:r w:rsidR="000D74C7">
                        <w:rPr>
                          <w:rFonts w:ascii="Noto Sans" w:hAnsi="Noto Sans"/>
                          <w:bCs/>
                          <w:noProof/>
                        </w:rPr>
                        <w:t>4</w:t>
                      </w:r>
                      <w:r w:rsidRPr="00177073">
                        <w:rPr>
                          <w:rFonts w:ascii="Noto Sans" w:hAnsi="Noto Sans"/>
                          <w:bCs/>
                        </w:rPr>
                        <w:fldChar w:fldCharType="end"/>
                      </w:r>
                    </w:sdtContent>
                  </w:sdt>
                </w:sdtContent>
              </w:sdt>
            </w:p>
          </w:tc>
        </w:tr>
        <w:tr w:rsidR="009005B4" w:rsidRPr="0096679F" w:rsidTr="00B82704">
          <w:tc>
            <w:tcPr>
              <w:tcW w:w="4400" w:type="dxa"/>
              <w:tcMar>
                <w:top w:w="0" w:type="dxa"/>
                <w:left w:w="0" w:type="dxa"/>
                <w:right w:w="0" w:type="dxa"/>
              </w:tcMar>
            </w:tcPr>
            <w:p w:rsidR="009005B4" w:rsidRPr="0096679F" w:rsidRDefault="009005B4" w:rsidP="00685574">
              <w:pPr>
                <w:pStyle w:val="Fuzeile"/>
                <w:rPr>
                  <w:rFonts w:ascii="Noto Sans" w:hAnsi="Noto Sans"/>
                  <w:lang w:val="en-US"/>
                </w:rPr>
              </w:pPr>
            </w:p>
          </w:tc>
          <w:tc>
            <w:tcPr>
              <w:tcW w:w="1134" w:type="dxa"/>
              <w:tcMar>
                <w:top w:w="0" w:type="dxa"/>
                <w:left w:w="0" w:type="dxa"/>
                <w:right w:w="0" w:type="dxa"/>
              </w:tcMar>
            </w:tcPr>
            <w:p w:rsidR="009005B4" w:rsidRPr="0096679F" w:rsidRDefault="009005B4" w:rsidP="00B82704">
              <w:pPr>
                <w:pStyle w:val="Fuzeile"/>
                <w:jc w:val="center"/>
                <w:rPr>
                  <w:rFonts w:ascii="Noto Sans" w:hAnsi="Noto Sans"/>
                  <w:lang w:val="en-US"/>
                </w:rPr>
              </w:pPr>
              <w:r>
                <w:rPr>
                  <w:rFonts w:ascii="Noto Sans" w:hAnsi="Noto Sans"/>
                  <w:lang w:val="en-US"/>
                </w:rPr>
                <w:t>www.2-g.de</w:t>
              </w:r>
            </w:p>
          </w:tc>
          <w:tc>
            <w:tcPr>
              <w:tcW w:w="4394" w:type="dxa"/>
              <w:tcMar>
                <w:top w:w="0" w:type="dxa"/>
                <w:left w:w="0" w:type="dxa"/>
                <w:right w:w="0" w:type="dxa"/>
              </w:tcMar>
            </w:tcPr>
            <w:p w:rsidR="009005B4" w:rsidRPr="0096679F" w:rsidRDefault="009005B4" w:rsidP="00685574">
              <w:pPr>
                <w:pStyle w:val="Fuzeile"/>
                <w:rPr>
                  <w:rFonts w:ascii="Noto Sans" w:hAnsi="Noto Sans"/>
                  <w:lang w:val="en-US"/>
                </w:rPr>
              </w:pPr>
            </w:p>
          </w:tc>
        </w:tr>
        <w:tr w:rsidR="009005B4" w:rsidRPr="0096679F" w:rsidTr="00B82704">
          <w:tc>
            <w:tcPr>
              <w:tcW w:w="4400" w:type="dxa"/>
              <w:tcMar>
                <w:top w:w="0" w:type="dxa"/>
                <w:left w:w="0" w:type="dxa"/>
                <w:right w:w="0" w:type="dxa"/>
              </w:tcMar>
            </w:tcPr>
            <w:p w:rsidR="009005B4" w:rsidRPr="0096679F" w:rsidRDefault="009005B4" w:rsidP="009731C1">
              <w:pPr>
                <w:pStyle w:val="Fuzeile"/>
                <w:rPr>
                  <w:rFonts w:ascii="Noto Sans" w:hAnsi="Noto Sans"/>
                  <w:lang w:val="en-US"/>
                </w:rPr>
              </w:pPr>
            </w:p>
          </w:tc>
          <w:tc>
            <w:tcPr>
              <w:tcW w:w="1134" w:type="dxa"/>
              <w:tcMar>
                <w:top w:w="0" w:type="dxa"/>
                <w:left w:w="0" w:type="dxa"/>
                <w:right w:w="0" w:type="dxa"/>
              </w:tcMar>
            </w:tcPr>
            <w:p w:rsidR="009005B4" w:rsidRPr="0096679F" w:rsidRDefault="009005B4" w:rsidP="00B82704">
              <w:pPr>
                <w:pStyle w:val="Fuzeile"/>
                <w:jc w:val="center"/>
                <w:rPr>
                  <w:rFonts w:ascii="Noto Sans" w:hAnsi="Noto Sans"/>
                  <w:lang w:val="en-US"/>
                </w:rPr>
              </w:pPr>
            </w:p>
          </w:tc>
          <w:tc>
            <w:tcPr>
              <w:tcW w:w="4394" w:type="dxa"/>
              <w:tcMar>
                <w:top w:w="0" w:type="dxa"/>
                <w:left w:w="0" w:type="dxa"/>
                <w:right w:w="0" w:type="dxa"/>
              </w:tcMar>
            </w:tcPr>
            <w:p w:rsidR="009005B4" w:rsidRPr="0096679F" w:rsidRDefault="00E92C2F" w:rsidP="00685574">
              <w:pPr>
                <w:pStyle w:val="Fuzeile"/>
                <w:rPr>
                  <w:rFonts w:ascii="Noto Sans" w:hAnsi="Noto Sans"/>
                  <w:lang w:val="en-US"/>
                </w:rPr>
              </w:pPr>
            </w:p>
          </w:tc>
        </w:tr>
      </w:tbl>
    </w:sdtContent>
  </w:sdt>
  <w:p w:rsidR="009005B4" w:rsidRPr="0096679F" w:rsidRDefault="009005B4" w:rsidP="00936781">
    <w:pPr>
      <w:pStyle w:val="Fuzeile"/>
      <w:rPr>
        <w:rFonts w:ascii="Noto Sans" w:hAnsi="Noto Sans"/>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6439" w:rsidRDefault="00676439" w:rsidP="00E945DC">
      <w:pPr>
        <w:spacing w:after="0" w:line="240" w:lineRule="auto"/>
      </w:pPr>
      <w:r>
        <w:separator/>
      </w:r>
    </w:p>
  </w:footnote>
  <w:footnote w:type="continuationSeparator" w:id="0">
    <w:p w:rsidR="00676439" w:rsidRDefault="00676439" w:rsidP="00E945D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85376533"/>
      <w:lock w:val="sdtContentLocked"/>
    </w:sdtPr>
    <w:sdtContent>
      <w:sdt>
        <w:sdtPr>
          <w:id w:val="342130260"/>
        </w:sdtPr>
        <w:sdtContent>
          <w:sdt>
            <w:sdtPr>
              <w:id w:val="-1476602219"/>
            </w:sdtPr>
            <w:sdtContent>
              <w:sdt>
                <w:sdtPr>
                  <w:id w:val="1877801886"/>
                </w:sdtPr>
                <w:sdtContent>
                  <w:sdt>
                    <w:sdtPr>
                      <w:id w:val="1084114003"/>
                    </w:sdtPr>
                    <w:sdtContent>
                      <w:sdt>
                        <w:sdtPr>
                          <w:id w:val="2092268106"/>
                        </w:sdtPr>
                        <w:sdtContent>
                          <w:sdt>
                            <w:sdtPr>
                              <w:id w:val="-1243018319"/>
                            </w:sdtPr>
                            <w:sdtContent>
                              <w:sdt>
                                <w:sdtPr>
                                  <w:id w:val="-686281563"/>
                                </w:sdtPr>
                                <w:sdtContent>
                                  <w:p w:rsidR="009005B4" w:rsidRDefault="009005B4" w:rsidP="002F3E62">
                                    <w:pPr>
                                      <w:pStyle w:val="Kopfzeile"/>
                                      <w:pBdr>
                                        <w:bottom w:val="single" w:sz="4" w:space="1" w:color="auto"/>
                                      </w:pBdr>
                                      <w:jc w:val="center"/>
                                    </w:pPr>
                                    <w:r>
                                      <w:rPr>
                                        <w:noProof/>
                                        <w:lang w:eastAsia="de-DE"/>
                                      </w:rPr>
                                      <w:drawing>
                                        <wp:anchor distT="0" distB="0" distL="114300" distR="114300" simplePos="0" relativeHeight="251667456" behindDoc="1" locked="0" layoutInCell="1" allowOverlap="1">
                                          <wp:simplePos x="0" y="0"/>
                                          <wp:positionH relativeFrom="leftMargin">
                                            <wp:posOffset>648335</wp:posOffset>
                                          </wp:positionH>
                                          <wp:positionV relativeFrom="topMargin">
                                            <wp:posOffset>252095</wp:posOffset>
                                          </wp:positionV>
                                          <wp:extent cx="774000" cy="504000"/>
                                          <wp:effectExtent l="0" t="0" r="7620" b="0"/>
                                          <wp:wrapNone/>
                                          <wp:docPr id="1" name="Grafik 1" descr="M:\04_Marketing\Vorlagen und Präsentationen\2G Logos\Slogans\2G Ellipse mit 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04_Marketing\Vorlagen und Präsentationen\2G Logos\Slogans\2G Ellipse mit R.jpg"/>
                                                  <pic:cNvPicPr>
                                                    <a:picLocks noChangeAspect="1" noChangeArrowheads="1"/>
                                                  </pic:cNvPicPr>
                                                </pic:nvPicPr>
                                                <pic:blipFill>
                                                  <a:blip r:embed="rId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74000" cy="504000"/>
                                                  </a:xfrm>
                                                  <a:prstGeom prst="rect">
                                                    <a:avLst/>
                                                  </a:prstGeom>
                                                  <a:noFill/>
                                                  <a:ln>
                                                    <a:noFill/>
                                                  </a:ln>
                                                </pic:spPr>
                                              </pic:pic>
                                            </a:graphicData>
                                          </a:graphic>
                                        </wp:anchor>
                                      </w:drawing>
                                    </w:r>
                                  </w:p>
                                </w:sdtContent>
                              </w:sdt>
                            </w:sdtContent>
                          </w:sdt>
                        </w:sdtContent>
                      </w:sdt>
                    </w:sdtContent>
                  </w:sdt>
                </w:sdtContent>
              </w:sdt>
            </w:sdtContent>
          </w:sdt>
        </w:sdtContent>
      </w:sdt>
    </w:sdtContent>
  </w:sdt>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05B4" w:rsidRDefault="00E92C2F" w:rsidP="001637D7">
    <w:pPr>
      <w:pStyle w:val="Kopfzeile"/>
      <w:pBdr>
        <w:bottom w:val="single" w:sz="4" w:space="1" w:color="auto"/>
      </w:pBdr>
    </w:pPr>
    <w:sdt>
      <w:sdtPr>
        <w:id w:val="-84915648"/>
      </w:sdtPr>
      <w:sdtContent>
        <w:r w:rsidR="009005B4">
          <w:rPr>
            <w:noProof/>
            <w:lang w:eastAsia="de-DE"/>
          </w:rPr>
          <w:drawing>
            <wp:anchor distT="0" distB="0" distL="114300" distR="114300" simplePos="0" relativeHeight="251669504" behindDoc="1" locked="0" layoutInCell="1" allowOverlap="1">
              <wp:simplePos x="0" y="0"/>
              <wp:positionH relativeFrom="leftMargin">
                <wp:posOffset>6156960</wp:posOffset>
              </wp:positionH>
              <wp:positionV relativeFrom="topMargin">
                <wp:posOffset>252095</wp:posOffset>
              </wp:positionV>
              <wp:extent cx="774000" cy="504000"/>
              <wp:effectExtent l="0" t="0" r="7620" b="0"/>
              <wp:wrapNone/>
              <wp:docPr id="2" name="Grafik 2" descr="M:\04_Marketing\Vorlagen und Präsentationen\2G Logos\Slogans\2G Ellipse mit 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04_Marketing\Vorlagen und Präsentationen\2G Logos\Slogans\2G Ellipse mit R.jpg"/>
                      <pic:cNvPicPr>
                        <a:picLocks noChangeAspect="1" noChangeArrowheads="1"/>
                      </pic:cNvPicPr>
                    </pic:nvPicPr>
                    <pic:blipFill>
                      <a:blip r:embed="rId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74000" cy="504000"/>
                      </a:xfrm>
                      <a:prstGeom prst="rect">
                        <a:avLst/>
                      </a:prstGeom>
                      <a:noFill/>
                      <a:ln>
                        <a:noFill/>
                      </a:ln>
                    </pic:spPr>
                  </pic:pic>
                </a:graphicData>
              </a:graphic>
            </wp:anchor>
          </w:drawing>
        </w:r>
      </w:sdtContent>
    </w:sdt>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F140C"/>
    <w:multiLevelType w:val="hybridMultilevel"/>
    <w:tmpl w:val="38103C5C"/>
    <w:lvl w:ilvl="0" w:tplc="EFD6ABF0">
      <w:start w:val="1"/>
      <w:numFmt w:val="decimal"/>
      <w:lvlText w:val="%1."/>
      <w:lvlJc w:val="left"/>
      <w:pPr>
        <w:ind w:left="717" w:hanging="360"/>
      </w:pPr>
      <w:rPr>
        <w:rFonts w:hint="default"/>
        <w:color w:val="000000" w:themeColor="text1"/>
      </w:rPr>
    </w:lvl>
    <w:lvl w:ilvl="1" w:tplc="04070019" w:tentative="1">
      <w:start w:val="1"/>
      <w:numFmt w:val="lowerLetter"/>
      <w:lvlText w:val="%2."/>
      <w:lvlJc w:val="left"/>
      <w:pPr>
        <w:ind w:left="1437" w:hanging="360"/>
      </w:pPr>
    </w:lvl>
    <w:lvl w:ilvl="2" w:tplc="0407001B" w:tentative="1">
      <w:start w:val="1"/>
      <w:numFmt w:val="lowerRoman"/>
      <w:lvlText w:val="%3."/>
      <w:lvlJc w:val="right"/>
      <w:pPr>
        <w:ind w:left="2157" w:hanging="180"/>
      </w:pPr>
    </w:lvl>
    <w:lvl w:ilvl="3" w:tplc="0407000F" w:tentative="1">
      <w:start w:val="1"/>
      <w:numFmt w:val="decimal"/>
      <w:lvlText w:val="%4."/>
      <w:lvlJc w:val="left"/>
      <w:pPr>
        <w:ind w:left="2877" w:hanging="360"/>
      </w:pPr>
    </w:lvl>
    <w:lvl w:ilvl="4" w:tplc="04070019" w:tentative="1">
      <w:start w:val="1"/>
      <w:numFmt w:val="lowerLetter"/>
      <w:lvlText w:val="%5."/>
      <w:lvlJc w:val="left"/>
      <w:pPr>
        <w:ind w:left="3597" w:hanging="360"/>
      </w:pPr>
    </w:lvl>
    <w:lvl w:ilvl="5" w:tplc="0407001B" w:tentative="1">
      <w:start w:val="1"/>
      <w:numFmt w:val="lowerRoman"/>
      <w:lvlText w:val="%6."/>
      <w:lvlJc w:val="right"/>
      <w:pPr>
        <w:ind w:left="4317" w:hanging="180"/>
      </w:pPr>
    </w:lvl>
    <w:lvl w:ilvl="6" w:tplc="0407000F" w:tentative="1">
      <w:start w:val="1"/>
      <w:numFmt w:val="decimal"/>
      <w:lvlText w:val="%7."/>
      <w:lvlJc w:val="left"/>
      <w:pPr>
        <w:ind w:left="5037" w:hanging="360"/>
      </w:pPr>
    </w:lvl>
    <w:lvl w:ilvl="7" w:tplc="04070019" w:tentative="1">
      <w:start w:val="1"/>
      <w:numFmt w:val="lowerLetter"/>
      <w:lvlText w:val="%8."/>
      <w:lvlJc w:val="left"/>
      <w:pPr>
        <w:ind w:left="5757" w:hanging="360"/>
      </w:pPr>
    </w:lvl>
    <w:lvl w:ilvl="8" w:tplc="0407001B" w:tentative="1">
      <w:start w:val="1"/>
      <w:numFmt w:val="lowerRoman"/>
      <w:lvlText w:val="%9."/>
      <w:lvlJc w:val="right"/>
      <w:pPr>
        <w:ind w:left="6477" w:hanging="180"/>
      </w:pPr>
    </w:lvl>
  </w:abstractNum>
  <w:abstractNum w:abstractNumId="1">
    <w:nsid w:val="16ED2A91"/>
    <w:multiLevelType w:val="singleLevel"/>
    <w:tmpl w:val="36A0E90E"/>
    <w:lvl w:ilvl="0">
      <w:start w:val="1"/>
      <w:numFmt w:val="bullet"/>
      <w:pStyle w:val="DBrottextBlickfangpunkt"/>
      <w:lvlText w:val=""/>
      <w:lvlJc w:val="left"/>
      <w:pPr>
        <w:tabs>
          <w:tab w:val="num" w:pos="397"/>
        </w:tabs>
        <w:ind w:left="397" w:hanging="397"/>
      </w:pPr>
      <w:rPr>
        <w:rFonts w:ascii="Symbol" w:hAnsi="Symbol" w:hint="default"/>
        <w:b w:val="0"/>
        <w:i w:val="0"/>
        <w:sz w:val="28"/>
      </w:rPr>
    </w:lvl>
  </w:abstractNum>
  <w:abstractNum w:abstractNumId="2">
    <w:nsid w:val="1B647CB8"/>
    <w:multiLevelType w:val="multilevel"/>
    <w:tmpl w:val="0407001D"/>
    <w:styleLink w:val="Formatvorlage2"/>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3FFD1847"/>
    <w:multiLevelType w:val="multilevel"/>
    <w:tmpl w:val="04070025"/>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4">
    <w:nsid w:val="482B4EC2"/>
    <w:multiLevelType w:val="multilevel"/>
    <w:tmpl w:val="0407001F"/>
    <w:styleLink w:val="Formatvorlage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78EB218D"/>
    <w:multiLevelType w:val="hybridMultilevel"/>
    <w:tmpl w:val="B5B463F6"/>
    <w:lvl w:ilvl="0" w:tplc="00010407">
      <w:start w:val="1"/>
      <w:numFmt w:val="bullet"/>
      <w:lvlText w:val=""/>
      <w:lvlJc w:val="left"/>
      <w:pPr>
        <w:tabs>
          <w:tab w:val="num" w:pos="720"/>
        </w:tabs>
        <w:ind w:left="720" w:hanging="360"/>
      </w:pPr>
      <w:rPr>
        <w:rFonts w:ascii="Symbol" w:hAnsi="Symbol" w:hint="default"/>
      </w:rPr>
    </w:lvl>
    <w:lvl w:ilvl="1" w:tplc="00030407">
      <w:start w:val="1"/>
      <w:numFmt w:val="decimal"/>
      <w:lvlText w:val="%2."/>
      <w:lvlJc w:val="left"/>
      <w:pPr>
        <w:tabs>
          <w:tab w:val="num" w:pos="1440"/>
        </w:tabs>
        <w:ind w:left="1440" w:hanging="360"/>
      </w:pPr>
      <w:rPr>
        <w:rFonts w:cs="Times New Roman"/>
      </w:rPr>
    </w:lvl>
    <w:lvl w:ilvl="2" w:tplc="00050407">
      <w:start w:val="1"/>
      <w:numFmt w:val="decimal"/>
      <w:lvlText w:val="%3."/>
      <w:lvlJc w:val="left"/>
      <w:pPr>
        <w:tabs>
          <w:tab w:val="num" w:pos="2160"/>
        </w:tabs>
        <w:ind w:left="2160" w:hanging="360"/>
      </w:pPr>
      <w:rPr>
        <w:rFonts w:cs="Times New Roman"/>
      </w:rPr>
    </w:lvl>
    <w:lvl w:ilvl="3" w:tplc="00010407">
      <w:start w:val="1"/>
      <w:numFmt w:val="decimal"/>
      <w:lvlText w:val="%4."/>
      <w:lvlJc w:val="left"/>
      <w:pPr>
        <w:tabs>
          <w:tab w:val="num" w:pos="2880"/>
        </w:tabs>
        <w:ind w:left="2880" w:hanging="360"/>
      </w:pPr>
      <w:rPr>
        <w:rFonts w:cs="Times New Roman"/>
      </w:rPr>
    </w:lvl>
    <w:lvl w:ilvl="4" w:tplc="00030407">
      <w:start w:val="1"/>
      <w:numFmt w:val="decimal"/>
      <w:lvlText w:val="%5."/>
      <w:lvlJc w:val="left"/>
      <w:pPr>
        <w:tabs>
          <w:tab w:val="num" w:pos="3600"/>
        </w:tabs>
        <w:ind w:left="3600" w:hanging="360"/>
      </w:pPr>
      <w:rPr>
        <w:rFonts w:cs="Times New Roman"/>
      </w:rPr>
    </w:lvl>
    <w:lvl w:ilvl="5" w:tplc="00050407">
      <w:start w:val="1"/>
      <w:numFmt w:val="decimal"/>
      <w:lvlText w:val="%6."/>
      <w:lvlJc w:val="left"/>
      <w:pPr>
        <w:tabs>
          <w:tab w:val="num" w:pos="4320"/>
        </w:tabs>
        <w:ind w:left="4320" w:hanging="360"/>
      </w:pPr>
      <w:rPr>
        <w:rFonts w:cs="Times New Roman"/>
      </w:rPr>
    </w:lvl>
    <w:lvl w:ilvl="6" w:tplc="00010407">
      <w:start w:val="1"/>
      <w:numFmt w:val="decimal"/>
      <w:lvlText w:val="%7."/>
      <w:lvlJc w:val="left"/>
      <w:pPr>
        <w:tabs>
          <w:tab w:val="num" w:pos="5040"/>
        </w:tabs>
        <w:ind w:left="5040" w:hanging="360"/>
      </w:pPr>
      <w:rPr>
        <w:rFonts w:cs="Times New Roman"/>
      </w:rPr>
    </w:lvl>
    <w:lvl w:ilvl="7" w:tplc="00030407">
      <w:start w:val="1"/>
      <w:numFmt w:val="decimal"/>
      <w:lvlText w:val="%8."/>
      <w:lvlJc w:val="left"/>
      <w:pPr>
        <w:tabs>
          <w:tab w:val="num" w:pos="5760"/>
        </w:tabs>
        <w:ind w:left="5760" w:hanging="360"/>
      </w:pPr>
      <w:rPr>
        <w:rFonts w:cs="Times New Roman"/>
      </w:rPr>
    </w:lvl>
    <w:lvl w:ilvl="8" w:tplc="00050407">
      <w:start w:val="1"/>
      <w:numFmt w:val="decimal"/>
      <w:lvlText w:val="%9."/>
      <w:lvlJc w:val="left"/>
      <w:pPr>
        <w:tabs>
          <w:tab w:val="num" w:pos="6480"/>
        </w:tabs>
        <w:ind w:left="6480" w:hanging="360"/>
      </w:pPr>
      <w:rPr>
        <w:rFonts w:cs="Times New Roman"/>
      </w:rPr>
    </w:lvl>
  </w:abstractNum>
  <w:num w:numId="1">
    <w:abstractNumId w:val="4"/>
  </w:num>
  <w:num w:numId="2">
    <w:abstractNumId w:val="2"/>
  </w:num>
  <w:num w:numId="3">
    <w:abstractNumId w:val="3"/>
  </w:num>
  <w:num w:numId="4">
    <w:abstractNumId w:val="1"/>
  </w:num>
  <w:num w:numId="5">
    <w:abstractNumId w:val="3"/>
    <w:lvlOverride w:ilvl="0">
      <w:startOverride w:val="3"/>
    </w:lvlOverride>
    <w:lvlOverride w:ilvl="1">
      <w:startOverride w:val="2"/>
    </w:lvlOverride>
    <w:lvlOverride w:ilvl="2">
      <w:startOverride w:val="2"/>
    </w:lvlOverride>
  </w:num>
  <w:num w:numId="6">
    <w:abstractNumId w:val="0"/>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6"/>
  <w:mirrorMargins/>
  <w:proofState w:spelling="clean" w:grammar="clean"/>
  <w:defaultTabStop w:val="709"/>
  <w:hyphenationZone w:val="425"/>
  <w:characterSpacingControl w:val="doNotCompress"/>
  <w:hdrShapeDefaults>
    <o:shapedefaults v:ext="edit" spidmax="7169"/>
  </w:hdrShapeDefaults>
  <w:footnotePr>
    <w:footnote w:id="-1"/>
    <w:footnote w:id="0"/>
  </w:footnotePr>
  <w:endnotePr>
    <w:endnote w:id="-1"/>
    <w:endnote w:id="0"/>
  </w:endnotePr>
  <w:compat/>
  <w:rsids>
    <w:rsidRoot w:val="00CB4BF8"/>
    <w:rsid w:val="00000760"/>
    <w:rsid w:val="00000FED"/>
    <w:rsid w:val="00013593"/>
    <w:rsid w:val="00021A95"/>
    <w:rsid w:val="00035AB7"/>
    <w:rsid w:val="000A3DD9"/>
    <w:rsid w:val="000C5286"/>
    <w:rsid w:val="000C5E6F"/>
    <w:rsid w:val="000D74C7"/>
    <w:rsid w:val="000F3B01"/>
    <w:rsid w:val="000F4393"/>
    <w:rsid w:val="00117F70"/>
    <w:rsid w:val="00132F29"/>
    <w:rsid w:val="00133033"/>
    <w:rsid w:val="00135BC2"/>
    <w:rsid w:val="001530E8"/>
    <w:rsid w:val="00162F8E"/>
    <w:rsid w:val="001637D7"/>
    <w:rsid w:val="001666B5"/>
    <w:rsid w:val="00167368"/>
    <w:rsid w:val="00177073"/>
    <w:rsid w:val="0018406B"/>
    <w:rsid w:val="00185166"/>
    <w:rsid w:val="00192DBE"/>
    <w:rsid w:val="001A282B"/>
    <w:rsid w:val="001B0892"/>
    <w:rsid w:val="001B2BB3"/>
    <w:rsid w:val="001B53C9"/>
    <w:rsid w:val="001C72BC"/>
    <w:rsid w:val="001E66A2"/>
    <w:rsid w:val="001F3A69"/>
    <w:rsid w:val="00210178"/>
    <w:rsid w:val="00234B3D"/>
    <w:rsid w:val="00244644"/>
    <w:rsid w:val="002548BE"/>
    <w:rsid w:val="00263578"/>
    <w:rsid w:val="002637DB"/>
    <w:rsid w:val="002A182B"/>
    <w:rsid w:val="002A4CFD"/>
    <w:rsid w:val="002B5B3C"/>
    <w:rsid w:val="002E0229"/>
    <w:rsid w:val="002F3E62"/>
    <w:rsid w:val="002F47AD"/>
    <w:rsid w:val="003027AD"/>
    <w:rsid w:val="003030A5"/>
    <w:rsid w:val="003138A9"/>
    <w:rsid w:val="00316B61"/>
    <w:rsid w:val="003218F0"/>
    <w:rsid w:val="00323BBC"/>
    <w:rsid w:val="00330B82"/>
    <w:rsid w:val="00334F9F"/>
    <w:rsid w:val="00337C44"/>
    <w:rsid w:val="00340B8C"/>
    <w:rsid w:val="00345E67"/>
    <w:rsid w:val="003500AC"/>
    <w:rsid w:val="00350E16"/>
    <w:rsid w:val="00351F8A"/>
    <w:rsid w:val="00357564"/>
    <w:rsid w:val="003668F2"/>
    <w:rsid w:val="0037188B"/>
    <w:rsid w:val="00372252"/>
    <w:rsid w:val="00372E0D"/>
    <w:rsid w:val="00375E51"/>
    <w:rsid w:val="0038216E"/>
    <w:rsid w:val="00384BE9"/>
    <w:rsid w:val="00394A2D"/>
    <w:rsid w:val="003B5B10"/>
    <w:rsid w:val="003D0AB0"/>
    <w:rsid w:val="003D35D5"/>
    <w:rsid w:val="003D4E8F"/>
    <w:rsid w:val="003E12AA"/>
    <w:rsid w:val="003E3C3E"/>
    <w:rsid w:val="003F1A02"/>
    <w:rsid w:val="003F6723"/>
    <w:rsid w:val="00410CAF"/>
    <w:rsid w:val="004170E9"/>
    <w:rsid w:val="0042166B"/>
    <w:rsid w:val="00432D28"/>
    <w:rsid w:val="0043568A"/>
    <w:rsid w:val="00437798"/>
    <w:rsid w:val="004418E2"/>
    <w:rsid w:val="004427E9"/>
    <w:rsid w:val="00443748"/>
    <w:rsid w:val="00446139"/>
    <w:rsid w:val="00453120"/>
    <w:rsid w:val="00461D1C"/>
    <w:rsid w:val="004622B6"/>
    <w:rsid w:val="00463B8A"/>
    <w:rsid w:val="00471155"/>
    <w:rsid w:val="00473C20"/>
    <w:rsid w:val="00477853"/>
    <w:rsid w:val="0048008A"/>
    <w:rsid w:val="0048091D"/>
    <w:rsid w:val="00496D0B"/>
    <w:rsid w:val="004B7D7F"/>
    <w:rsid w:val="004C1326"/>
    <w:rsid w:val="004C327B"/>
    <w:rsid w:val="004C5B7C"/>
    <w:rsid w:val="004D069A"/>
    <w:rsid w:val="004D614C"/>
    <w:rsid w:val="004E6E45"/>
    <w:rsid w:val="004F38E9"/>
    <w:rsid w:val="004F5475"/>
    <w:rsid w:val="004F709A"/>
    <w:rsid w:val="00500C01"/>
    <w:rsid w:val="00501C0C"/>
    <w:rsid w:val="0050759E"/>
    <w:rsid w:val="0052128B"/>
    <w:rsid w:val="00530015"/>
    <w:rsid w:val="0054035A"/>
    <w:rsid w:val="00550D87"/>
    <w:rsid w:val="00556FE5"/>
    <w:rsid w:val="00563471"/>
    <w:rsid w:val="005710A1"/>
    <w:rsid w:val="00572D6B"/>
    <w:rsid w:val="00573639"/>
    <w:rsid w:val="00575594"/>
    <w:rsid w:val="0057616F"/>
    <w:rsid w:val="00582B3B"/>
    <w:rsid w:val="00586719"/>
    <w:rsid w:val="005962DC"/>
    <w:rsid w:val="005A0674"/>
    <w:rsid w:val="005A22B2"/>
    <w:rsid w:val="005B4F08"/>
    <w:rsid w:val="005C777B"/>
    <w:rsid w:val="005D07A6"/>
    <w:rsid w:val="005D0B96"/>
    <w:rsid w:val="005D73AB"/>
    <w:rsid w:val="005D79FA"/>
    <w:rsid w:val="005E027E"/>
    <w:rsid w:val="005E2228"/>
    <w:rsid w:val="005E3024"/>
    <w:rsid w:val="005E608D"/>
    <w:rsid w:val="006060BE"/>
    <w:rsid w:val="00617346"/>
    <w:rsid w:val="0061765D"/>
    <w:rsid w:val="00633257"/>
    <w:rsid w:val="00636D2E"/>
    <w:rsid w:val="00637200"/>
    <w:rsid w:val="00653FBB"/>
    <w:rsid w:val="00676439"/>
    <w:rsid w:val="00684D22"/>
    <w:rsid w:val="00685574"/>
    <w:rsid w:val="00686C40"/>
    <w:rsid w:val="00690C6B"/>
    <w:rsid w:val="00691538"/>
    <w:rsid w:val="006A7BF0"/>
    <w:rsid w:val="006B29A6"/>
    <w:rsid w:val="006B4C18"/>
    <w:rsid w:val="006B5E06"/>
    <w:rsid w:val="006C63F3"/>
    <w:rsid w:val="0070179E"/>
    <w:rsid w:val="0070512D"/>
    <w:rsid w:val="00705EB4"/>
    <w:rsid w:val="00720DE0"/>
    <w:rsid w:val="00734ABF"/>
    <w:rsid w:val="007513B1"/>
    <w:rsid w:val="00754041"/>
    <w:rsid w:val="00762710"/>
    <w:rsid w:val="00772652"/>
    <w:rsid w:val="0078103E"/>
    <w:rsid w:val="0078239B"/>
    <w:rsid w:val="007832DA"/>
    <w:rsid w:val="007A0990"/>
    <w:rsid w:val="007B00E3"/>
    <w:rsid w:val="007B03C5"/>
    <w:rsid w:val="007C4630"/>
    <w:rsid w:val="007C6754"/>
    <w:rsid w:val="007E248A"/>
    <w:rsid w:val="007F3AC2"/>
    <w:rsid w:val="0080431D"/>
    <w:rsid w:val="0082086D"/>
    <w:rsid w:val="00842C79"/>
    <w:rsid w:val="00845B8E"/>
    <w:rsid w:val="008472A2"/>
    <w:rsid w:val="0085038E"/>
    <w:rsid w:val="00851BF5"/>
    <w:rsid w:val="00862EBA"/>
    <w:rsid w:val="0086634A"/>
    <w:rsid w:val="0086674E"/>
    <w:rsid w:val="00897B0C"/>
    <w:rsid w:val="008A13D6"/>
    <w:rsid w:val="008B10E0"/>
    <w:rsid w:val="008B131F"/>
    <w:rsid w:val="008B2CAC"/>
    <w:rsid w:val="008B2EB4"/>
    <w:rsid w:val="008B4609"/>
    <w:rsid w:val="008D2640"/>
    <w:rsid w:val="008D3669"/>
    <w:rsid w:val="008E2B19"/>
    <w:rsid w:val="008E4C7E"/>
    <w:rsid w:val="008F0E7F"/>
    <w:rsid w:val="008F0F29"/>
    <w:rsid w:val="008F5702"/>
    <w:rsid w:val="009005B4"/>
    <w:rsid w:val="0090504D"/>
    <w:rsid w:val="009073C3"/>
    <w:rsid w:val="00921A4C"/>
    <w:rsid w:val="00927D85"/>
    <w:rsid w:val="00930DCB"/>
    <w:rsid w:val="00935E55"/>
    <w:rsid w:val="00936781"/>
    <w:rsid w:val="0093760B"/>
    <w:rsid w:val="009438D1"/>
    <w:rsid w:val="00954D8B"/>
    <w:rsid w:val="009654C0"/>
    <w:rsid w:val="0096679F"/>
    <w:rsid w:val="00971658"/>
    <w:rsid w:val="009718FA"/>
    <w:rsid w:val="009731C1"/>
    <w:rsid w:val="00975B34"/>
    <w:rsid w:val="0098092D"/>
    <w:rsid w:val="009810D4"/>
    <w:rsid w:val="0099089F"/>
    <w:rsid w:val="00990C40"/>
    <w:rsid w:val="009C4AEE"/>
    <w:rsid w:val="009D1BC8"/>
    <w:rsid w:val="009D5FAB"/>
    <w:rsid w:val="009D671A"/>
    <w:rsid w:val="009E35B6"/>
    <w:rsid w:val="009F46A1"/>
    <w:rsid w:val="009F49B0"/>
    <w:rsid w:val="009F4CAD"/>
    <w:rsid w:val="00A237A0"/>
    <w:rsid w:val="00A2719C"/>
    <w:rsid w:val="00A34E96"/>
    <w:rsid w:val="00A35149"/>
    <w:rsid w:val="00A35942"/>
    <w:rsid w:val="00A41070"/>
    <w:rsid w:val="00A44F57"/>
    <w:rsid w:val="00A4647C"/>
    <w:rsid w:val="00A478D4"/>
    <w:rsid w:val="00A47A13"/>
    <w:rsid w:val="00A52189"/>
    <w:rsid w:val="00A641F1"/>
    <w:rsid w:val="00A64699"/>
    <w:rsid w:val="00A82C1D"/>
    <w:rsid w:val="00A93942"/>
    <w:rsid w:val="00AA0082"/>
    <w:rsid w:val="00AA3745"/>
    <w:rsid w:val="00AA773E"/>
    <w:rsid w:val="00AB1E8D"/>
    <w:rsid w:val="00AB59A0"/>
    <w:rsid w:val="00AC3929"/>
    <w:rsid w:val="00AC61DA"/>
    <w:rsid w:val="00AC6C10"/>
    <w:rsid w:val="00AC7495"/>
    <w:rsid w:val="00AD32D2"/>
    <w:rsid w:val="00AD362E"/>
    <w:rsid w:val="00AD78B5"/>
    <w:rsid w:val="00AE6FB7"/>
    <w:rsid w:val="00AF044E"/>
    <w:rsid w:val="00AF3291"/>
    <w:rsid w:val="00B02719"/>
    <w:rsid w:val="00B06164"/>
    <w:rsid w:val="00B317EC"/>
    <w:rsid w:val="00B32829"/>
    <w:rsid w:val="00B37975"/>
    <w:rsid w:val="00B41ADE"/>
    <w:rsid w:val="00B42D60"/>
    <w:rsid w:val="00B53910"/>
    <w:rsid w:val="00B6046F"/>
    <w:rsid w:val="00B70D2F"/>
    <w:rsid w:val="00B82704"/>
    <w:rsid w:val="00B832A0"/>
    <w:rsid w:val="00B9325C"/>
    <w:rsid w:val="00BB0CF0"/>
    <w:rsid w:val="00BB0CFD"/>
    <w:rsid w:val="00BB5BEC"/>
    <w:rsid w:val="00BE559A"/>
    <w:rsid w:val="00BF2284"/>
    <w:rsid w:val="00BF3259"/>
    <w:rsid w:val="00BF6833"/>
    <w:rsid w:val="00C0556C"/>
    <w:rsid w:val="00C05E35"/>
    <w:rsid w:val="00C06FA8"/>
    <w:rsid w:val="00C0783B"/>
    <w:rsid w:val="00C1240F"/>
    <w:rsid w:val="00C208A5"/>
    <w:rsid w:val="00C22068"/>
    <w:rsid w:val="00C26BE9"/>
    <w:rsid w:val="00C31AB4"/>
    <w:rsid w:val="00C6798E"/>
    <w:rsid w:val="00C76706"/>
    <w:rsid w:val="00C861F9"/>
    <w:rsid w:val="00C87B84"/>
    <w:rsid w:val="00C93A54"/>
    <w:rsid w:val="00CA632B"/>
    <w:rsid w:val="00CB4BF8"/>
    <w:rsid w:val="00CD2F46"/>
    <w:rsid w:val="00CD7E74"/>
    <w:rsid w:val="00CE784B"/>
    <w:rsid w:val="00CF0126"/>
    <w:rsid w:val="00CF0E90"/>
    <w:rsid w:val="00CF539B"/>
    <w:rsid w:val="00CF7644"/>
    <w:rsid w:val="00D012C2"/>
    <w:rsid w:val="00D06B03"/>
    <w:rsid w:val="00D17BBF"/>
    <w:rsid w:val="00D30396"/>
    <w:rsid w:val="00D30480"/>
    <w:rsid w:val="00D328EC"/>
    <w:rsid w:val="00D366D3"/>
    <w:rsid w:val="00D36976"/>
    <w:rsid w:val="00D37EDE"/>
    <w:rsid w:val="00D414E9"/>
    <w:rsid w:val="00D41DBB"/>
    <w:rsid w:val="00D57E7D"/>
    <w:rsid w:val="00D61E67"/>
    <w:rsid w:val="00D62768"/>
    <w:rsid w:val="00D62DAF"/>
    <w:rsid w:val="00D634CC"/>
    <w:rsid w:val="00D66618"/>
    <w:rsid w:val="00D76F71"/>
    <w:rsid w:val="00D80FBF"/>
    <w:rsid w:val="00D81FC4"/>
    <w:rsid w:val="00D82031"/>
    <w:rsid w:val="00D82605"/>
    <w:rsid w:val="00D82D03"/>
    <w:rsid w:val="00D901A5"/>
    <w:rsid w:val="00D97446"/>
    <w:rsid w:val="00DA35B5"/>
    <w:rsid w:val="00DB08E4"/>
    <w:rsid w:val="00DB19BD"/>
    <w:rsid w:val="00DB2124"/>
    <w:rsid w:val="00DB3A72"/>
    <w:rsid w:val="00DC7ED4"/>
    <w:rsid w:val="00DD0C60"/>
    <w:rsid w:val="00DD19CB"/>
    <w:rsid w:val="00DD4336"/>
    <w:rsid w:val="00E00222"/>
    <w:rsid w:val="00E079D2"/>
    <w:rsid w:val="00E10F7B"/>
    <w:rsid w:val="00E1344E"/>
    <w:rsid w:val="00E13949"/>
    <w:rsid w:val="00E20EB1"/>
    <w:rsid w:val="00E32749"/>
    <w:rsid w:val="00E425DF"/>
    <w:rsid w:val="00E471C7"/>
    <w:rsid w:val="00E501EC"/>
    <w:rsid w:val="00E54404"/>
    <w:rsid w:val="00E64D8F"/>
    <w:rsid w:val="00E662E3"/>
    <w:rsid w:val="00E82AD3"/>
    <w:rsid w:val="00E86071"/>
    <w:rsid w:val="00E90AA4"/>
    <w:rsid w:val="00E90BFE"/>
    <w:rsid w:val="00E92C2F"/>
    <w:rsid w:val="00E945DC"/>
    <w:rsid w:val="00E94B4A"/>
    <w:rsid w:val="00EA6E2E"/>
    <w:rsid w:val="00EB1E1F"/>
    <w:rsid w:val="00EB7701"/>
    <w:rsid w:val="00ED1B2D"/>
    <w:rsid w:val="00EF1F5E"/>
    <w:rsid w:val="00EF4386"/>
    <w:rsid w:val="00EF66FF"/>
    <w:rsid w:val="00EF7CCC"/>
    <w:rsid w:val="00F403D5"/>
    <w:rsid w:val="00F47293"/>
    <w:rsid w:val="00F51D30"/>
    <w:rsid w:val="00F54DC0"/>
    <w:rsid w:val="00F65299"/>
    <w:rsid w:val="00F74503"/>
    <w:rsid w:val="00F75DF1"/>
    <w:rsid w:val="00FB2E45"/>
    <w:rsid w:val="00FB38B6"/>
    <w:rsid w:val="00FB5BC0"/>
    <w:rsid w:val="00FB7509"/>
    <w:rsid w:val="00FC17AE"/>
    <w:rsid w:val="00FD0F77"/>
    <w:rsid w:val="00FE0857"/>
    <w:rsid w:val="00FE41B4"/>
    <w:rsid w:val="00FE715F"/>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Standard">
    <w:name w:val="Normal"/>
    <w:aliases w:val="mit Einzug"/>
    <w:rsid w:val="00575594"/>
    <w:pPr>
      <w:spacing w:after="120"/>
      <w:ind w:left="357"/>
    </w:pPr>
    <w:rPr>
      <w:rFonts w:ascii="Arial" w:hAnsi="Arial"/>
      <w:sz w:val="20"/>
    </w:rPr>
  </w:style>
  <w:style w:type="paragraph" w:styleId="berschrift1">
    <w:name w:val="heading 1"/>
    <w:basedOn w:val="Standard"/>
    <w:next w:val="Standardtext"/>
    <w:link w:val="berschrift1Zchn"/>
    <w:uiPriority w:val="9"/>
    <w:qFormat/>
    <w:rsid w:val="0037188B"/>
    <w:pPr>
      <w:keepNext/>
      <w:keepLines/>
      <w:numPr>
        <w:numId w:val="3"/>
      </w:numPr>
      <w:spacing w:before="480" w:after="240"/>
      <w:ind w:left="357" w:hanging="357"/>
      <w:outlineLvl w:val="0"/>
    </w:pPr>
    <w:rPr>
      <w:rFonts w:ascii="Noto Sans" w:eastAsiaTheme="majorEastAsia" w:hAnsi="Noto Sans" w:cstheme="majorBidi"/>
      <w:b/>
      <w:bCs/>
      <w:color w:val="000000" w:themeColor="text1"/>
      <w:sz w:val="24"/>
      <w:szCs w:val="28"/>
    </w:rPr>
  </w:style>
  <w:style w:type="paragraph" w:styleId="berschrift2">
    <w:name w:val="heading 2"/>
    <w:basedOn w:val="Standard"/>
    <w:next w:val="Standardtext"/>
    <w:link w:val="berschrift2Zchn"/>
    <w:uiPriority w:val="9"/>
    <w:unhideWhenUsed/>
    <w:qFormat/>
    <w:rsid w:val="0037188B"/>
    <w:pPr>
      <w:keepNext/>
      <w:keepLines/>
      <w:numPr>
        <w:ilvl w:val="1"/>
        <w:numId w:val="3"/>
      </w:numPr>
      <w:spacing w:before="240"/>
      <w:ind w:left="567" w:hanging="567"/>
      <w:outlineLvl w:val="1"/>
    </w:pPr>
    <w:rPr>
      <w:rFonts w:ascii="Noto Sans" w:eastAsiaTheme="majorEastAsia" w:hAnsi="Noto Sans" w:cstheme="majorBidi"/>
      <w:b/>
      <w:bCs/>
      <w:sz w:val="22"/>
      <w:szCs w:val="26"/>
    </w:rPr>
  </w:style>
  <w:style w:type="paragraph" w:styleId="berschrift3">
    <w:name w:val="heading 3"/>
    <w:basedOn w:val="Standard"/>
    <w:next w:val="Standardtext"/>
    <w:link w:val="berschrift3Zchn"/>
    <w:uiPriority w:val="9"/>
    <w:unhideWhenUsed/>
    <w:qFormat/>
    <w:rsid w:val="0037188B"/>
    <w:pPr>
      <w:keepNext/>
      <w:keepLines/>
      <w:numPr>
        <w:ilvl w:val="2"/>
        <w:numId w:val="3"/>
      </w:numPr>
      <w:spacing w:before="240"/>
      <w:ind w:left="680" w:hanging="680"/>
      <w:outlineLvl w:val="2"/>
    </w:pPr>
    <w:rPr>
      <w:rFonts w:ascii="Noto Sans" w:eastAsiaTheme="majorEastAsia" w:hAnsi="Noto Sans" w:cstheme="majorBidi"/>
      <w:b/>
      <w:bCs/>
    </w:rPr>
  </w:style>
  <w:style w:type="paragraph" w:styleId="berschrift4">
    <w:name w:val="heading 4"/>
    <w:basedOn w:val="Standard"/>
    <w:next w:val="Standard"/>
    <w:link w:val="berschrift4Zchn"/>
    <w:uiPriority w:val="9"/>
    <w:semiHidden/>
    <w:unhideWhenUsed/>
    <w:rsid w:val="0054035A"/>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54035A"/>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54035A"/>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54035A"/>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54035A"/>
    <w:pPr>
      <w:keepNext/>
      <w:keepLines/>
      <w:numPr>
        <w:ilvl w:val="7"/>
        <w:numId w:val="3"/>
      </w:numPr>
      <w:spacing w:before="200" w:after="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54035A"/>
    <w:pPr>
      <w:keepNext/>
      <w:keepLines/>
      <w:numPr>
        <w:ilvl w:val="8"/>
        <w:numId w:val="3"/>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B4BF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B4BF8"/>
    <w:rPr>
      <w:rFonts w:ascii="Tahoma" w:hAnsi="Tahoma" w:cs="Tahoma"/>
      <w:sz w:val="16"/>
      <w:szCs w:val="16"/>
    </w:rPr>
  </w:style>
  <w:style w:type="paragraph" w:styleId="Listenabsatz">
    <w:name w:val="List Paragraph"/>
    <w:basedOn w:val="Standard"/>
    <w:qFormat/>
    <w:rsid w:val="00CB4BF8"/>
    <w:pPr>
      <w:ind w:left="720"/>
      <w:contextualSpacing/>
    </w:pPr>
  </w:style>
  <w:style w:type="paragraph" w:styleId="Kopfzeile">
    <w:name w:val="header"/>
    <w:basedOn w:val="Standard"/>
    <w:link w:val="KopfzeileZchn"/>
    <w:uiPriority w:val="99"/>
    <w:unhideWhenUsed/>
    <w:rsid w:val="003668F2"/>
    <w:pPr>
      <w:tabs>
        <w:tab w:val="center" w:pos="4536"/>
        <w:tab w:val="right" w:pos="9072"/>
      </w:tabs>
      <w:spacing w:after="0" w:line="240" w:lineRule="auto"/>
      <w:ind w:left="0"/>
    </w:pPr>
  </w:style>
  <w:style w:type="character" w:customStyle="1" w:styleId="KopfzeileZchn">
    <w:name w:val="Kopfzeile Zchn"/>
    <w:basedOn w:val="Absatz-Standardschriftart"/>
    <w:link w:val="Kopfzeile"/>
    <w:uiPriority w:val="99"/>
    <w:rsid w:val="003668F2"/>
    <w:rPr>
      <w:rFonts w:ascii="Arial" w:hAnsi="Arial"/>
      <w:sz w:val="20"/>
    </w:rPr>
  </w:style>
  <w:style w:type="paragraph" w:styleId="Fuzeile">
    <w:name w:val="footer"/>
    <w:basedOn w:val="Standard"/>
    <w:link w:val="FuzeileZchn"/>
    <w:uiPriority w:val="99"/>
    <w:unhideWhenUsed/>
    <w:rsid w:val="00685574"/>
    <w:pPr>
      <w:tabs>
        <w:tab w:val="center" w:pos="4536"/>
        <w:tab w:val="right" w:pos="9072"/>
      </w:tabs>
      <w:spacing w:after="0" w:line="240" w:lineRule="auto"/>
      <w:ind w:left="0"/>
    </w:pPr>
    <w:rPr>
      <w:sz w:val="14"/>
    </w:rPr>
  </w:style>
  <w:style w:type="character" w:customStyle="1" w:styleId="FuzeileZchn">
    <w:name w:val="Fußzeile Zchn"/>
    <w:basedOn w:val="Absatz-Standardschriftart"/>
    <w:link w:val="Fuzeile"/>
    <w:uiPriority w:val="99"/>
    <w:rsid w:val="00685574"/>
    <w:rPr>
      <w:rFonts w:ascii="Arial" w:hAnsi="Arial"/>
      <w:sz w:val="14"/>
    </w:rPr>
  </w:style>
  <w:style w:type="paragraph" w:customStyle="1" w:styleId="Aufzhlung">
    <w:name w:val="Aufzählung"/>
    <w:basedOn w:val="Standard"/>
    <w:rsid w:val="00DC7ED4"/>
    <w:pPr>
      <w:spacing w:after="0"/>
      <w:ind w:left="907" w:hanging="340"/>
    </w:pPr>
    <w:rPr>
      <w:rFonts w:cs="Arial"/>
    </w:rPr>
  </w:style>
  <w:style w:type="character" w:customStyle="1" w:styleId="berschrift2Zchn">
    <w:name w:val="Überschrift 2 Zchn"/>
    <w:basedOn w:val="Absatz-Standardschriftart"/>
    <w:link w:val="berschrift2"/>
    <w:uiPriority w:val="9"/>
    <w:rsid w:val="0037188B"/>
    <w:rPr>
      <w:rFonts w:ascii="Noto Sans" w:eastAsiaTheme="majorEastAsia" w:hAnsi="Noto Sans" w:cstheme="majorBidi"/>
      <w:b/>
      <w:bCs/>
      <w:szCs w:val="26"/>
    </w:rPr>
  </w:style>
  <w:style w:type="table" w:styleId="Tabellengitternetz">
    <w:name w:val="Table Grid"/>
    <w:basedOn w:val="NormaleTabelle"/>
    <w:uiPriority w:val="59"/>
    <w:rsid w:val="00720DE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tzhaltertext">
    <w:name w:val="Placeholder Text"/>
    <w:basedOn w:val="Absatz-Standardschriftart"/>
    <w:uiPriority w:val="99"/>
    <w:semiHidden/>
    <w:rsid w:val="0078239B"/>
    <w:rPr>
      <w:color w:val="808080"/>
    </w:rPr>
  </w:style>
  <w:style w:type="character" w:customStyle="1" w:styleId="berschrift1Zchn">
    <w:name w:val="Überschrift 1 Zchn"/>
    <w:basedOn w:val="Absatz-Standardschriftart"/>
    <w:link w:val="berschrift1"/>
    <w:uiPriority w:val="9"/>
    <w:rsid w:val="0037188B"/>
    <w:rPr>
      <w:rFonts w:ascii="Noto Sans" w:eastAsiaTheme="majorEastAsia" w:hAnsi="Noto Sans" w:cstheme="majorBidi"/>
      <w:b/>
      <w:bCs/>
      <w:color w:val="000000" w:themeColor="text1"/>
      <w:sz w:val="24"/>
      <w:szCs w:val="28"/>
    </w:rPr>
  </w:style>
  <w:style w:type="character" w:styleId="IntensiveHervorhebung">
    <w:name w:val="Intense Emphasis"/>
    <w:basedOn w:val="Absatz-Standardschriftart"/>
    <w:uiPriority w:val="21"/>
    <w:rsid w:val="00954D8B"/>
    <w:rPr>
      <w:b/>
      <w:bCs/>
      <w:i/>
      <w:iCs/>
      <w:color w:val="4F81BD" w:themeColor="accent1"/>
    </w:rPr>
  </w:style>
  <w:style w:type="numbering" w:customStyle="1" w:styleId="Formatvorlage1">
    <w:name w:val="Formatvorlage1"/>
    <w:uiPriority w:val="99"/>
    <w:rsid w:val="00685574"/>
    <w:pPr>
      <w:numPr>
        <w:numId w:val="1"/>
      </w:numPr>
    </w:pPr>
  </w:style>
  <w:style w:type="numbering" w:customStyle="1" w:styleId="Formatvorlage2">
    <w:name w:val="Formatvorlage2"/>
    <w:uiPriority w:val="99"/>
    <w:rsid w:val="00685574"/>
    <w:pPr>
      <w:numPr>
        <w:numId w:val="2"/>
      </w:numPr>
    </w:pPr>
  </w:style>
  <w:style w:type="character" w:customStyle="1" w:styleId="berschrift3Zchn">
    <w:name w:val="Überschrift 3 Zchn"/>
    <w:basedOn w:val="Absatz-Standardschriftart"/>
    <w:link w:val="berschrift3"/>
    <w:uiPriority w:val="9"/>
    <w:rsid w:val="0037188B"/>
    <w:rPr>
      <w:rFonts w:ascii="Noto Sans" w:eastAsiaTheme="majorEastAsia" w:hAnsi="Noto Sans" w:cstheme="majorBidi"/>
      <w:b/>
      <w:bCs/>
      <w:sz w:val="20"/>
    </w:rPr>
  </w:style>
  <w:style w:type="character" w:customStyle="1" w:styleId="berschrift4Zchn">
    <w:name w:val="Überschrift 4 Zchn"/>
    <w:basedOn w:val="Absatz-Standardschriftart"/>
    <w:link w:val="berschrift4"/>
    <w:uiPriority w:val="9"/>
    <w:semiHidden/>
    <w:rsid w:val="0054035A"/>
    <w:rPr>
      <w:rFonts w:asciiTheme="majorHAnsi" w:eastAsiaTheme="majorEastAsia" w:hAnsiTheme="majorHAnsi" w:cstheme="majorBidi"/>
      <w:b/>
      <w:bCs/>
      <w:i/>
      <w:iCs/>
      <w:color w:val="4F81BD" w:themeColor="accent1"/>
      <w:sz w:val="20"/>
    </w:rPr>
  </w:style>
  <w:style w:type="character" w:customStyle="1" w:styleId="berschrift5Zchn">
    <w:name w:val="Überschrift 5 Zchn"/>
    <w:basedOn w:val="Absatz-Standardschriftart"/>
    <w:link w:val="berschrift5"/>
    <w:uiPriority w:val="9"/>
    <w:semiHidden/>
    <w:rsid w:val="0054035A"/>
    <w:rPr>
      <w:rFonts w:asciiTheme="majorHAnsi" w:eastAsiaTheme="majorEastAsia" w:hAnsiTheme="majorHAnsi" w:cstheme="majorBidi"/>
      <w:color w:val="243F60" w:themeColor="accent1" w:themeShade="7F"/>
      <w:sz w:val="20"/>
    </w:rPr>
  </w:style>
  <w:style w:type="character" w:customStyle="1" w:styleId="berschrift6Zchn">
    <w:name w:val="Überschrift 6 Zchn"/>
    <w:basedOn w:val="Absatz-Standardschriftart"/>
    <w:link w:val="berschrift6"/>
    <w:uiPriority w:val="9"/>
    <w:semiHidden/>
    <w:rsid w:val="0054035A"/>
    <w:rPr>
      <w:rFonts w:asciiTheme="majorHAnsi" w:eastAsiaTheme="majorEastAsia" w:hAnsiTheme="majorHAnsi" w:cstheme="majorBidi"/>
      <w:i/>
      <w:iCs/>
      <w:color w:val="243F60" w:themeColor="accent1" w:themeShade="7F"/>
      <w:sz w:val="20"/>
    </w:rPr>
  </w:style>
  <w:style w:type="character" w:customStyle="1" w:styleId="berschrift7Zchn">
    <w:name w:val="Überschrift 7 Zchn"/>
    <w:basedOn w:val="Absatz-Standardschriftart"/>
    <w:link w:val="berschrift7"/>
    <w:uiPriority w:val="9"/>
    <w:semiHidden/>
    <w:rsid w:val="0054035A"/>
    <w:rPr>
      <w:rFonts w:asciiTheme="majorHAnsi" w:eastAsiaTheme="majorEastAsia" w:hAnsiTheme="majorHAnsi" w:cstheme="majorBidi"/>
      <w:i/>
      <w:iCs/>
      <w:color w:val="404040" w:themeColor="text1" w:themeTint="BF"/>
      <w:sz w:val="20"/>
    </w:rPr>
  </w:style>
  <w:style w:type="character" w:customStyle="1" w:styleId="berschrift8Zchn">
    <w:name w:val="Überschrift 8 Zchn"/>
    <w:basedOn w:val="Absatz-Standardschriftart"/>
    <w:link w:val="berschrift8"/>
    <w:uiPriority w:val="9"/>
    <w:semiHidden/>
    <w:rsid w:val="0054035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54035A"/>
    <w:rPr>
      <w:rFonts w:asciiTheme="majorHAnsi" w:eastAsiaTheme="majorEastAsia" w:hAnsiTheme="majorHAnsi" w:cstheme="majorBidi"/>
      <w:i/>
      <w:iCs/>
      <w:color w:val="404040" w:themeColor="text1" w:themeTint="BF"/>
      <w:sz w:val="20"/>
      <w:szCs w:val="20"/>
    </w:rPr>
  </w:style>
  <w:style w:type="paragraph" w:customStyle="1" w:styleId="Standardtext">
    <w:name w:val="Standardtext"/>
    <w:basedOn w:val="Standard"/>
    <w:qFormat/>
    <w:rsid w:val="0037188B"/>
    <w:pPr>
      <w:spacing w:after="0" w:line="240" w:lineRule="auto"/>
      <w:jc w:val="both"/>
    </w:pPr>
    <w:rPr>
      <w:rFonts w:ascii="Noto Sans" w:hAnsi="Noto Sans"/>
    </w:rPr>
  </w:style>
  <w:style w:type="paragraph" w:customStyle="1" w:styleId="Dokumentberschrift3">
    <w:name w:val="Dokumentüberschrift 3"/>
    <w:basedOn w:val="Standard"/>
    <w:rsid w:val="00C861F9"/>
    <w:pPr>
      <w:ind w:left="0"/>
    </w:pPr>
    <w:rPr>
      <w:rFonts w:cs="Arial"/>
      <w:b/>
    </w:rPr>
  </w:style>
  <w:style w:type="paragraph" w:customStyle="1" w:styleId="Dokumentberschrift">
    <w:name w:val="Dokumentüberschrift"/>
    <w:basedOn w:val="Standard"/>
    <w:rsid w:val="00C861F9"/>
    <w:pPr>
      <w:spacing w:after="360"/>
      <w:ind w:left="0"/>
    </w:pPr>
    <w:rPr>
      <w:rFonts w:cs="Arial"/>
      <w:b/>
      <w:color w:val="7F7F7F" w:themeColor="text1" w:themeTint="80"/>
      <w:sz w:val="32"/>
      <w:szCs w:val="32"/>
    </w:rPr>
  </w:style>
  <w:style w:type="paragraph" w:customStyle="1" w:styleId="Dokumentberschrift2">
    <w:name w:val="Dokumentüberschrift 2"/>
    <w:basedOn w:val="Standard"/>
    <w:rsid w:val="00C861F9"/>
    <w:pPr>
      <w:tabs>
        <w:tab w:val="left" w:pos="3416"/>
      </w:tabs>
      <w:spacing w:after="360"/>
      <w:ind w:left="0"/>
    </w:pPr>
    <w:rPr>
      <w:rFonts w:cs="Arial"/>
      <w:color w:val="7F7F7F"/>
      <w:sz w:val="32"/>
      <w:szCs w:val="32"/>
    </w:rPr>
  </w:style>
  <w:style w:type="character" w:styleId="Hyperlink">
    <w:name w:val="Hyperlink"/>
    <w:basedOn w:val="Absatz-Standardschriftart"/>
    <w:uiPriority w:val="99"/>
    <w:unhideWhenUsed/>
    <w:rsid w:val="0037188B"/>
    <w:rPr>
      <w:rFonts w:ascii="Noto Sans" w:hAnsi="Noto Sans"/>
      <w:color w:val="000000" w:themeColor="text1"/>
      <w:sz w:val="20"/>
      <w:u w:val="single"/>
    </w:rPr>
  </w:style>
  <w:style w:type="character" w:styleId="Kommentarzeichen">
    <w:name w:val="annotation reference"/>
    <w:semiHidden/>
    <w:rsid w:val="00617346"/>
    <w:rPr>
      <w:sz w:val="16"/>
    </w:rPr>
  </w:style>
  <w:style w:type="paragraph" w:styleId="Kommentartext">
    <w:name w:val="annotation text"/>
    <w:basedOn w:val="Standard"/>
    <w:link w:val="KommentartextZchn"/>
    <w:uiPriority w:val="99"/>
    <w:semiHidden/>
    <w:unhideWhenUsed/>
    <w:rsid w:val="00617346"/>
    <w:pPr>
      <w:spacing w:after="0" w:line="240" w:lineRule="auto"/>
      <w:ind w:left="0"/>
    </w:pPr>
    <w:rPr>
      <w:rFonts w:eastAsia="Times New Roman" w:cs="Times New Roman"/>
      <w:szCs w:val="20"/>
      <w:lang w:eastAsia="de-DE"/>
    </w:rPr>
  </w:style>
  <w:style w:type="character" w:customStyle="1" w:styleId="KommentartextZchn">
    <w:name w:val="Kommentartext Zchn"/>
    <w:basedOn w:val="Absatz-Standardschriftart"/>
    <w:link w:val="Kommentartext"/>
    <w:uiPriority w:val="99"/>
    <w:semiHidden/>
    <w:rsid w:val="00617346"/>
    <w:rPr>
      <w:rFonts w:ascii="Arial" w:eastAsia="Times New Roman" w:hAnsi="Arial" w:cs="Times New Roman"/>
      <w:sz w:val="20"/>
      <w:szCs w:val="20"/>
      <w:lang w:eastAsia="de-DE"/>
    </w:rPr>
  </w:style>
  <w:style w:type="paragraph" w:styleId="Beschriftung">
    <w:name w:val="caption"/>
    <w:basedOn w:val="Standard"/>
    <w:next w:val="Standardtext"/>
    <w:uiPriority w:val="35"/>
    <w:unhideWhenUsed/>
    <w:qFormat/>
    <w:rsid w:val="004B7D7F"/>
    <w:pPr>
      <w:spacing w:after="200" w:line="240" w:lineRule="auto"/>
      <w:ind w:left="0"/>
    </w:pPr>
    <w:rPr>
      <w:rFonts w:ascii="Noto Sans" w:hAnsi="Noto Sans"/>
      <w:b/>
      <w:bCs/>
      <w:sz w:val="16"/>
      <w:szCs w:val="18"/>
    </w:rPr>
  </w:style>
  <w:style w:type="paragraph" w:customStyle="1" w:styleId="BildunterschriftTabelle">
    <w:name w:val="Bildunterschrift Tabelle"/>
    <w:basedOn w:val="Beschriftung"/>
    <w:rsid w:val="00132F29"/>
    <w:pPr>
      <w:spacing w:after="360"/>
    </w:pPr>
    <w:rPr>
      <w:szCs w:val="14"/>
    </w:rPr>
  </w:style>
  <w:style w:type="paragraph" w:customStyle="1" w:styleId="DBrottext">
    <w:name w:val="D_Brottext"/>
    <w:rsid w:val="00CF0126"/>
    <w:pPr>
      <w:keepLines/>
      <w:spacing w:before="120" w:after="120" w:line="288" w:lineRule="auto"/>
      <w:ind w:left="851"/>
    </w:pPr>
    <w:rPr>
      <w:rFonts w:ascii="Arial" w:eastAsia="Times New Roman" w:hAnsi="Arial" w:cs="Times New Roman"/>
      <w:noProof/>
      <w:szCs w:val="20"/>
      <w:lang w:eastAsia="de-DE"/>
    </w:rPr>
  </w:style>
  <w:style w:type="paragraph" w:styleId="Inhaltsverzeichnisberschrift">
    <w:name w:val="TOC Heading"/>
    <w:basedOn w:val="berschrift1"/>
    <w:next w:val="Standard"/>
    <w:uiPriority w:val="39"/>
    <w:unhideWhenUsed/>
    <w:rsid w:val="0037188B"/>
    <w:pPr>
      <w:numPr>
        <w:numId w:val="0"/>
      </w:numPr>
      <w:spacing w:after="0"/>
      <w:outlineLvl w:val="9"/>
    </w:pPr>
    <w:rPr>
      <w:color w:val="auto"/>
      <w:sz w:val="32"/>
      <w:lang w:eastAsia="de-DE"/>
    </w:rPr>
  </w:style>
  <w:style w:type="paragraph" w:styleId="Verzeichnis1">
    <w:name w:val="toc 1"/>
    <w:basedOn w:val="Standard"/>
    <w:next w:val="Standard"/>
    <w:autoRedefine/>
    <w:uiPriority w:val="39"/>
    <w:unhideWhenUsed/>
    <w:rsid w:val="0037188B"/>
    <w:pPr>
      <w:spacing w:after="100"/>
      <w:ind w:left="0"/>
    </w:pPr>
    <w:rPr>
      <w:rFonts w:ascii="Noto Sans" w:hAnsi="Noto Sans"/>
    </w:rPr>
  </w:style>
  <w:style w:type="paragraph" w:styleId="Verzeichnis2">
    <w:name w:val="toc 2"/>
    <w:basedOn w:val="Standard"/>
    <w:next w:val="Standard"/>
    <w:autoRedefine/>
    <w:uiPriority w:val="39"/>
    <w:unhideWhenUsed/>
    <w:rsid w:val="0037188B"/>
    <w:pPr>
      <w:spacing w:after="100"/>
      <w:ind w:left="200"/>
    </w:pPr>
    <w:rPr>
      <w:rFonts w:ascii="Noto Sans" w:hAnsi="Noto Sans"/>
    </w:rPr>
  </w:style>
  <w:style w:type="paragraph" w:styleId="Verzeichnis3">
    <w:name w:val="toc 3"/>
    <w:basedOn w:val="Standard"/>
    <w:next w:val="Standard"/>
    <w:link w:val="Verzeichnis3Zchn"/>
    <w:autoRedefine/>
    <w:uiPriority w:val="39"/>
    <w:unhideWhenUsed/>
    <w:rsid w:val="0037188B"/>
    <w:pPr>
      <w:spacing w:after="100"/>
      <w:ind w:left="400"/>
    </w:pPr>
    <w:rPr>
      <w:rFonts w:ascii="Noto Sans" w:hAnsi="Noto Sans"/>
    </w:rPr>
  </w:style>
  <w:style w:type="paragraph" w:styleId="Abbildungsverzeichnis">
    <w:name w:val="table of figures"/>
    <w:basedOn w:val="Standard"/>
    <w:next w:val="Standard"/>
    <w:uiPriority w:val="99"/>
    <w:unhideWhenUsed/>
    <w:rsid w:val="00686C40"/>
    <w:pPr>
      <w:spacing w:after="0"/>
      <w:ind w:left="0"/>
    </w:pPr>
    <w:rPr>
      <w:rFonts w:asciiTheme="minorHAnsi" w:hAnsiTheme="minorHAnsi" w:cstheme="minorHAnsi"/>
      <w:i/>
      <w:iCs/>
      <w:szCs w:val="20"/>
    </w:rPr>
  </w:style>
  <w:style w:type="character" w:styleId="Hervorhebung">
    <w:name w:val="Emphasis"/>
    <w:basedOn w:val="Absatz-Standardschriftart"/>
    <w:uiPriority w:val="20"/>
    <w:rsid w:val="0043568A"/>
    <w:rPr>
      <w:i/>
      <w:iCs/>
    </w:rPr>
  </w:style>
  <w:style w:type="paragraph" w:styleId="KeinLeerraum">
    <w:name w:val="No Spacing"/>
    <w:uiPriority w:val="1"/>
    <w:rsid w:val="00A47A13"/>
    <w:pPr>
      <w:spacing w:after="0" w:line="260" w:lineRule="exact"/>
      <w:ind w:left="357"/>
    </w:pPr>
    <w:rPr>
      <w:rFonts w:ascii="Roboto" w:hAnsi="Roboto"/>
      <w:sz w:val="20"/>
    </w:rPr>
  </w:style>
  <w:style w:type="paragraph" w:customStyle="1" w:styleId="Grau">
    <w:name w:val="Grau"/>
    <w:aliases w:val="Noto Sans 16"/>
    <w:basedOn w:val="Standard"/>
    <w:next w:val="Standardtext"/>
    <w:qFormat/>
    <w:rsid w:val="0037188B"/>
    <w:pPr>
      <w:spacing w:before="240"/>
      <w:ind w:left="0"/>
      <w:jc w:val="both"/>
    </w:pPr>
    <w:rPr>
      <w:rFonts w:ascii="Noto Sans" w:hAnsi="Noto Sans"/>
      <w:color w:val="7F7F7F" w:themeColor="text1" w:themeTint="80"/>
      <w:sz w:val="32"/>
      <w:lang w:val="es-ES_tradnl"/>
    </w:rPr>
  </w:style>
  <w:style w:type="paragraph" w:customStyle="1" w:styleId="FettNotoSans10">
    <w:name w:val="Fett Noto Sans 10"/>
    <w:basedOn w:val="Standard"/>
    <w:qFormat/>
    <w:rsid w:val="0037188B"/>
    <w:pPr>
      <w:ind w:left="0"/>
    </w:pPr>
    <w:rPr>
      <w:rFonts w:ascii="Noto Sans" w:hAnsi="Noto Sans"/>
      <w:b/>
    </w:rPr>
  </w:style>
  <w:style w:type="paragraph" w:customStyle="1" w:styleId="Standart">
    <w:name w:val="Standart"/>
    <w:aliases w:val="ohne Einzug"/>
    <w:basedOn w:val="Standard"/>
    <w:rsid w:val="004B7D7F"/>
  </w:style>
  <w:style w:type="paragraph" w:customStyle="1" w:styleId="DTabelle">
    <w:name w:val="D_Tabelle"/>
    <w:rsid w:val="004B7D7F"/>
    <w:pPr>
      <w:suppressAutoHyphens/>
      <w:spacing w:before="60" w:after="60" w:line="240" w:lineRule="auto"/>
    </w:pPr>
    <w:rPr>
      <w:rFonts w:ascii="Arial" w:eastAsia="Times New Roman" w:hAnsi="Arial" w:cs="Times New Roman"/>
      <w:noProof/>
      <w:szCs w:val="20"/>
      <w:lang w:eastAsia="de-DE"/>
    </w:rPr>
  </w:style>
  <w:style w:type="paragraph" w:customStyle="1" w:styleId="DBrottextBlickfangpunkt">
    <w:name w:val="D_Brottext_Blickfangpunkt"/>
    <w:basedOn w:val="DBrottext"/>
    <w:rsid w:val="004B7D7F"/>
    <w:pPr>
      <w:numPr>
        <w:numId w:val="4"/>
      </w:numPr>
      <w:tabs>
        <w:tab w:val="clear" w:pos="397"/>
        <w:tab w:val="num" w:pos="1276"/>
      </w:tabs>
      <w:spacing w:before="60"/>
      <w:ind w:left="1276" w:hanging="425"/>
    </w:pPr>
  </w:style>
  <w:style w:type="paragraph" w:customStyle="1" w:styleId="DTabellefett">
    <w:name w:val="D_Tabelle_fett"/>
    <w:basedOn w:val="DTabelle"/>
    <w:rsid w:val="004B7D7F"/>
    <w:rPr>
      <w:b/>
    </w:rPr>
  </w:style>
  <w:style w:type="paragraph" w:customStyle="1" w:styleId="Verzeichnis2G">
    <w:name w:val="Verzeichnis 2G"/>
    <w:basedOn w:val="Verzeichnis3"/>
    <w:link w:val="Verzeichnis2GZchn"/>
    <w:rsid w:val="004B7D7F"/>
    <w:pPr>
      <w:tabs>
        <w:tab w:val="left" w:pos="1100"/>
        <w:tab w:val="right" w:leader="dot" w:pos="9854"/>
      </w:tabs>
    </w:pPr>
    <w:rPr>
      <w:rFonts w:cs="Arial"/>
      <w:noProof/>
    </w:rPr>
  </w:style>
  <w:style w:type="character" w:customStyle="1" w:styleId="Verzeichnis3Zchn">
    <w:name w:val="Verzeichnis 3 Zchn"/>
    <w:basedOn w:val="Absatz-Standardschriftart"/>
    <w:link w:val="Verzeichnis3"/>
    <w:uiPriority w:val="39"/>
    <w:rsid w:val="004B7D7F"/>
    <w:rPr>
      <w:rFonts w:ascii="Noto Sans" w:hAnsi="Noto Sans"/>
      <w:sz w:val="20"/>
    </w:rPr>
  </w:style>
  <w:style w:type="character" w:customStyle="1" w:styleId="Verzeichnis2GZchn">
    <w:name w:val="Verzeichnis 2G Zchn"/>
    <w:basedOn w:val="Verzeichnis3Zchn"/>
    <w:link w:val="Verzeichnis2G"/>
    <w:rsid w:val="004B7D7F"/>
    <w:rPr>
      <w:rFonts w:ascii="Noto Sans" w:hAnsi="Noto Sans" w:cs="Arial"/>
      <w:noProof/>
      <w:sz w:val="20"/>
    </w:rPr>
  </w:style>
  <w:style w:type="paragraph" w:customStyle="1" w:styleId="WeiFettNotoSans10">
    <w:name w:val="Weiß Fett Noto Sans 10"/>
    <w:basedOn w:val="FettNotoSans10"/>
    <w:qFormat/>
    <w:rsid w:val="00AC3929"/>
    <w:rPr>
      <w:noProof/>
      <w:color w:val="FFFFFF" w:themeColor="background1"/>
      <w:lang w:eastAsia="de-DE"/>
    </w:rPr>
  </w:style>
  <w:style w:type="paragraph" w:styleId="Kommentarthema">
    <w:name w:val="annotation subject"/>
    <w:basedOn w:val="Kommentartext"/>
    <w:next w:val="Kommentartext"/>
    <w:link w:val="KommentarthemaZchn"/>
    <w:uiPriority w:val="99"/>
    <w:semiHidden/>
    <w:unhideWhenUsed/>
    <w:rsid w:val="00E501EC"/>
    <w:pPr>
      <w:spacing w:after="120"/>
      <w:ind w:left="357"/>
    </w:pPr>
    <w:rPr>
      <w:rFonts w:eastAsiaTheme="minorHAnsi" w:cstheme="minorBidi"/>
      <w:b/>
      <w:bCs/>
      <w:lang w:eastAsia="en-US"/>
    </w:rPr>
  </w:style>
  <w:style w:type="character" w:customStyle="1" w:styleId="KommentarthemaZchn">
    <w:name w:val="Kommentarthema Zchn"/>
    <w:basedOn w:val="KommentartextZchn"/>
    <w:link w:val="Kommentarthema"/>
    <w:uiPriority w:val="99"/>
    <w:semiHidden/>
    <w:rsid w:val="00E501EC"/>
    <w:rPr>
      <w:rFonts w:ascii="Arial" w:eastAsia="Times New Roman" w:hAnsi="Arial" w:cs="Times New Roman"/>
      <w:b/>
      <w:bCs/>
      <w:sz w:val="20"/>
      <w:szCs w:val="20"/>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Standard">
    <w:name w:val="Normal"/>
    <w:aliases w:val="mit Einzug"/>
    <w:rsid w:val="00575594"/>
    <w:pPr>
      <w:spacing w:after="120"/>
      <w:ind w:left="357"/>
    </w:pPr>
    <w:rPr>
      <w:rFonts w:ascii="Arial" w:hAnsi="Arial"/>
      <w:sz w:val="20"/>
    </w:rPr>
  </w:style>
  <w:style w:type="paragraph" w:styleId="berschrift1">
    <w:name w:val="heading 1"/>
    <w:basedOn w:val="Standard"/>
    <w:next w:val="Standardtext"/>
    <w:link w:val="berschrift1Zchn"/>
    <w:uiPriority w:val="9"/>
    <w:qFormat/>
    <w:rsid w:val="0037188B"/>
    <w:pPr>
      <w:keepNext/>
      <w:keepLines/>
      <w:numPr>
        <w:numId w:val="3"/>
      </w:numPr>
      <w:spacing w:before="480" w:after="240"/>
      <w:ind w:left="357" w:hanging="357"/>
      <w:outlineLvl w:val="0"/>
    </w:pPr>
    <w:rPr>
      <w:rFonts w:ascii="Noto Sans" w:eastAsiaTheme="majorEastAsia" w:hAnsi="Noto Sans" w:cstheme="majorBidi"/>
      <w:b/>
      <w:bCs/>
      <w:color w:val="000000" w:themeColor="text1"/>
      <w:sz w:val="24"/>
      <w:szCs w:val="28"/>
    </w:rPr>
  </w:style>
  <w:style w:type="paragraph" w:styleId="berschrift2">
    <w:name w:val="heading 2"/>
    <w:basedOn w:val="Standard"/>
    <w:next w:val="Standardtext"/>
    <w:link w:val="berschrift2Zchn"/>
    <w:uiPriority w:val="9"/>
    <w:unhideWhenUsed/>
    <w:qFormat/>
    <w:rsid w:val="0037188B"/>
    <w:pPr>
      <w:keepNext/>
      <w:keepLines/>
      <w:numPr>
        <w:ilvl w:val="1"/>
        <w:numId w:val="3"/>
      </w:numPr>
      <w:spacing w:before="240"/>
      <w:ind w:left="567" w:hanging="567"/>
      <w:outlineLvl w:val="1"/>
    </w:pPr>
    <w:rPr>
      <w:rFonts w:ascii="Noto Sans" w:eastAsiaTheme="majorEastAsia" w:hAnsi="Noto Sans" w:cstheme="majorBidi"/>
      <w:b/>
      <w:bCs/>
      <w:sz w:val="22"/>
      <w:szCs w:val="26"/>
    </w:rPr>
  </w:style>
  <w:style w:type="paragraph" w:styleId="berschrift3">
    <w:name w:val="heading 3"/>
    <w:basedOn w:val="Standard"/>
    <w:next w:val="Standardtext"/>
    <w:link w:val="berschrift3Zchn"/>
    <w:uiPriority w:val="9"/>
    <w:unhideWhenUsed/>
    <w:qFormat/>
    <w:rsid w:val="0037188B"/>
    <w:pPr>
      <w:keepNext/>
      <w:keepLines/>
      <w:numPr>
        <w:ilvl w:val="2"/>
        <w:numId w:val="3"/>
      </w:numPr>
      <w:spacing w:before="240"/>
      <w:ind w:left="680" w:hanging="680"/>
      <w:outlineLvl w:val="2"/>
    </w:pPr>
    <w:rPr>
      <w:rFonts w:ascii="Noto Sans" w:eastAsiaTheme="majorEastAsia" w:hAnsi="Noto Sans" w:cstheme="majorBidi"/>
      <w:b/>
      <w:bCs/>
    </w:rPr>
  </w:style>
  <w:style w:type="paragraph" w:styleId="berschrift4">
    <w:name w:val="heading 4"/>
    <w:basedOn w:val="Standard"/>
    <w:next w:val="Standard"/>
    <w:link w:val="berschrift4Zchn"/>
    <w:uiPriority w:val="9"/>
    <w:semiHidden/>
    <w:unhideWhenUsed/>
    <w:rsid w:val="0054035A"/>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54035A"/>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54035A"/>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54035A"/>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54035A"/>
    <w:pPr>
      <w:keepNext/>
      <w:keepLines/>
      <w:numPr>
        <w:ilvl w:val="7"/>
        <w:numId w:val="3"/>
      </w:numPr>
      <w:spacing w:before="200" w:after="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54035A"/>
    <w:pPr>
      <w:keepNext/>
      <w:keepLines/>
      <w:numPr>
        <w:ilvl w:val="8"/>
        <w:numId w:val="3"/>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B4BF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B4BF8"/>
    <w:rPr>
      <w:rFonts w:ascii="Tahoma" w:hAnsi="Tahoma" w:cs="Tahoma"/>
      <w:sz w:val="16"/>
      <w:szCs w:val="16"/>
    </w:rPr>
  </w:style>
  <w:style w:type="paragraph" w:styleId="Listenabsatz">
    <w:name w:val="List Paragraph"/>
    <w:basedOn w:val="Standard"/>
    <w:qFormat/>
    <w:rsid w:val="00CB4BF8"/>
    <w:pPr>
      <w:ind w:left="720"/>
      <w:contextualSpacing/>
    </w:pPr>
  </w:style>
  <w:style w:type="paragraph" w:styleId="Kopfzeile">
    <w:name w:val="header"/>
    <w:basedOn w:val="Standard"/>
    <w:link w:val="KopfzeileZchn"/>
    <w:uiPriority w:val="99"/>
    <w:unhideWhenUsed/>
    <w:rsid w:val="003668F2"/>
    <w:pPr>
      <w:tabs>
        <w:tab w:val="center" w:pos="4536"/>
        <w:tab w:val="right" w:pos="9072"/>
      </w:tabs>
      <w:spacing w:after="0" w:line="240" w:lineRule="auto"/>
      <w:ind w:left="0"/>
    </w:pPr>
  </w:style>
  <w:style w:type="character" w:customStyle="1" w:styleId="KopfzeileZchn">
    <w:name w:val="Kopfzeile Zchn"/>
    <w:basedOn w:val="Absatz-Standardschriftart"/>
    <w:link w:val="Kopfzeile"/>
    <w:uiPriority w:val="99"/>
    <w:rsid w:val="003668F2"/>
    <w:rPr>
      <w:rFonts w:ascii="Arial" w:hAnsi="Arial"/>
      <w:sz w:val="20"/>
    </w:rPr>
  </w:style>
  <w:style w:type="paragraph" w:styleId="Fuzeile">
    <w:name w:val="footer"/>
    <w:basedOn w:val="Standard"/>
    <w:link w:val="FuzeileZchn"/>
    <w:uiPriority w:val="99"/>
    <w:unhideWhenUsed/>
    <w:rsid w:val="00685574"/>
    <w:pPr>
      <w:tabs>
        <w:tab w:val="center" w:pos="4536"/>
        <w:tab w:val="right" w:pos="9072"/>
      </w:tabs>
      <w:spacing w:after="0" w:line="240" w:lineRule="auto"/>
      <w:ind w:left="0"/>
    </w:pPr>
    <w:rPr>
      <w:sz w:val="14"/>
    </w:rPr>
  </w:style>
  <w:style w:type="character" w:customStyle="1" w:styleId="FuzeileZchn">
    <w:name w:val="Fußzeile Zchn"/>
    <w:basedOn w:val="Absatz-Standardschriftart"/>
    <w:link w:val="Fuzeile"/>
    <w:uiPriority w:val="99"/>
    <w:rsid w:val="00685574"/>
    <w:rPr>
      <w:rFonts w:ascii="Arial" w:hAnsi="Arial"/>
      <w:sz w:val="14"/>
    </w:rPr>
  </w:style>
  <w:style w:type="paragraph" w:customStyle="1" w:styleId="Aufzhlung">
    <w:name w:val="Aufzählung"/>
    <w:basedOn w:val="Standard"/>
    <w:rsid w:val="00DC7ED4"/>
    <w:pPr>
      <w:spacing w:after="0"/>
      <w:ind w:left="907" w:hanging="340"/>
    </w:pPr>
    <w:rPr>
      <w:rFonts w:cs="Arial"/>
    </w:rPr>
  </w:style>
  <w:style w:type="character" w:customStyle="1" w:styleId="berschrift2Zchn">
    <w:name w:val="Überschrift 2 Zchn"/>
    <w:basedOn w:val="Absatz-Standardschriftart"/>
    <w:link w:val="berschrift2"/>
    <w:uiPriority w:val="9"/>
    <w:rsid w:val="0037188B"/>
    <w:rPr>
      <w:rFonts w:ascii="Noto Sans" w:eastAsiaTheme="majorEastAsia" w:hAnsi="Noto Sans" w:cstheme="majorBidi"/>
      <w:b/>
      <w:bCs/>
      <w:szCs w:val="26"/>
    </w:rPr>
  </w:style>
  <w:style w:type="table" w:styleId="Tabellenraster">
    <w:name w:val="Table Grid"/>
    <w:basedOn w:val="NormaleTabelle"/>
    <w:uiPriority w:val="59"/>
    <w:rsid w:val="00720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78239B"/>
    <w:rPr>
      <w:color w:val="808080"/>
    </w:rPr>
  </w:style>
  <w:style w:type="character" w:customStyle="1" w:styleId="berschrift1Zchn">
    <w:name w:val="Überschrift 1 Zchn"/>
    <w:basedOn w:val="Absatz-Standardschriftart"/>
    <w:link w:val="berschrift1"/>
    <w:uiPriority w:val="9"/>
    <w:rsid w:val="0037188B"/>
    <w:rPr>
      <w:rFonts w:ascii="Noto Sans" w:eastAsiaTheme="majorEastAsia" w:hAnsi="Noto Sans" w:cstheme="majorBidi"/>
      <w:b/>
      <w:bCs/>
      <w:color w:val="000000" w:themeColor="text1"/>
      <w:sz w:val="24"/>
      <w:szCs w:val="28"/>
    </w:rPr>
  </w:style>
  <w:style w:type="character" w:styleId="IntensiveHervorhebung">
    <w:name w:val="Intense Emphasis"/>
    <w:basedOn w:val="Absatz-Standardschriftart"/>
    <w:uiPriority w:val="21"/>
    <w:rsid w:val="00954D8B"/>
    <w:rPr>
      <w:b/>
      <w:bCs/>
      <w:i/>
      <w:iCs/>
      <w:color w:val="4F81BD" w:themeColor="accent1"/>
    </w:rPr>
  </w:style>
  <w:style w:type="numbering" w:customStyle="1" w:styleId="Formatvorlage1">
    <w:name w:val="Formatvorlage1"/>
    <w:uiPriority w:val="99"/>
    <w:rsid w:val="00685574"/>
    <w:pPr>
      <w:numPr>
        <w:numId w:val="1"/>
      </w:numPr>
    </w:pPr>
  </w:style>
  <w:style w:type="numbering" w:customStyle="1" w:styleId="Formatvorlage2">
    <w:name w:val="Formatvorlage2"/>
    <w:uiPriority w:val="99"/>
    <w:rsid w:val="00685574"/>
    <w:pPr>
      <w:numPr>
        <w:numId w:val="2"/>
      </w:numPr>
    </w:pPr>
  </w:style>
  <w:style w:type="character" w:customStyle="1" w:styleId="berschrift3Zchn">
    <w:name w:val="Überschrift 3 Zchn"/>
    <w:basedOn w:val="Absatz-Standardschriftart"/>
    <w:link w:val="berschrift3"/>
    <w:uiPriority w:val="9"/>
    <w:rsid w:val="0037188B"/>
    <w:rPr>
      <w:rFonts w:ascii="Noto Sans" w:eastAsiaTheme="majorEastAsia" w:hAnsi="Noto Sans" w:cstheme="majorBidi"/>
      <w:b/>
      <w:bCs/>
      <w:sz w:val="20"/>
    </w:rPr>
  </w:style>
  <w:style w:type="character" w:customStyle="1" w:styleId="berschrift4Zchn">
    <w:name w:val="Überschrift 4 Zchn"/>
    <w:basedOn w:val="Absatz-Standardschriftart"/>
    <w:link w:val="berschrift4"/>
    <w:uiPriority w:val="9"/>
    <w:semiHidden/>
    <w:rsid w:val="0054035A"/>
    <w:rPr>
      <w:rFonts w:asciiTheme="majorHAnsi" w:eastAsiaTheme="majorEastAsia" w:hAnsiTheme="majorHAnsi" w:cstheme="majorBidi"/>
      <w:b/>
      <w:bCs/>
      <w:i/>
      <w:iCs/>
      <w:color w:val="4F81BD" w:themeColor="accent1"/>
      <w:sz w:val="20"/>
    </w:rPr>
  </w:style>
  <w:style w:type="character" w:customStyle="1" w:styleId="berschrift5Zchn">
    <w:name w:val="Überschrift 5 Zchn"/>
    <w:basedOn w:val="Absatz-Standardschriftart"/>
    <w:link w:val="berschrift5"/>
    <w:uiPriority w:val="9"/>
    <w:semiHidden/>
    <w:rsid w:val="0054035A"/>
    <w:rPr>
      <w:rFonts w:asciiTheme="majorHAnsi" w:eastAsiaTheme="majorEastAsia" w:hAnsiTheme="majorHAnsi" w:cstheme="majorBidi"/>
      <w:color w:val="243F60" w:themeColor="accent1" w:themeShade="7F"/>
      <w:sz w:val="20"/>
    </w:rPr>
  </w:style>
  <w:style w:type="character" w:customStyle="1" w:styleId="berschrift6Zchn">
    <w:name w:val="Überschrift 6 Zchn"/>
    <w:basedOn w:val="Absatz-Standardschriftart"/>
    <w:link w:val="berschrift6"/>
    <w:uiPriority w:val="9"/>
    <w:semiHidden/>
    <w:rsid w:val="0054035A"/>
    <w:rPr>
      <w:rFonts w:asciiTheme="majorHAnsi" w:eastAsiaTheme="majorEastAsia" w:hAnsiTheme="majorHAnsi" w:cstheme="majorBidi"/>
      <w:i/>
      <w:iCs/>
      <w:color w:val="243F60" w:themeColor="accent1" w:themeShade="7F"/>
      <w:sz w:val="20"/>
    </w:rPr>
  </w:style>
  <w:style w:type="character" w:customStyle="1" w:styleId="berschrift7Zchn">
    <w:name w:val="Überschrift 7 Zchn"/>
    <w:basedOn w:val="Absatz-Standardschriftart"/>
    <w:link w:val="berschrift7"/>
    <w:uiPriority w:val="9"/>
    <w:semiHidden/>
    <w:rsid w:val="0054035A"/>
    <w:rPr>
      <w:rFonts w:asciiTheme="majorHAnsi" w:eastAsiaTheme="majorEastAsia" w:hAnsiTheme="majorHAnsi" w:cstheme="majorBidi"/>
      <w:i/>
      <w:iCs/>
      <w:color w:val="404040" w:themeColor="text1" w:themeTint="BF"/>
      <w:sz w:val="20"/>
    </w:rPr>
  </w:style>
  <w:style w:type="character" w:customStyle="1" w:styleId="berschrift8Zchn">
    <w:name w:val="Überschrift 8 Zchn"/>
    <w:basedOn w:val="Absatz-Standardschriftart"/>
    <w:link w:val="berschrift8"/>
    <w:uiPriority w:val="9"/>
    <w:semiHidden/>
    <w:rsid w:val="0054035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54035A"/>
    <w:rPr>
      <w:rFonts w:asciiTheme="majorHAnsi" w:eastAsiaTheme="majorEastAsia" w:hAnsiTheme="majorHAnsi" w:cstheme="majorBidi"/>
      <w:i/>
      <w:iCs/>
      <w:color w:val="404040" w:themeColor="text1" w:themeTint="BF"/>
      <w:sz w:val="20"/>
      <w:szCs w:val="20"/>
    </w:rPr>
  </w:style>
  <w:style w:type="paragraph" w:customStyle="1" w:styleId="Standardtext">
    <w:name w:val="Standardtext"/>
    <w:basedOn w:val="Standard"/>
    <w:qFormat/>
    <w:rsid w:val="0037188B"/>
    <w:pPr>
      <w:spacing w:after="0" w:line="240" w:lineRule="auto"/>
      <w:jc w:val="both"/>
    </w:pPr>
    <w:rPr>
      <w:rFonts w:ascii="Noto Sans" w:hAnsi="Noto Sans"/>
    </w:rPr>
  </w:style>
  <w:style w:type="paragraph" w:customStyle="1" w:styleId="Dokumentberschrift3">
    <w:name w:val="Dokumentüberschrift 3"/>
    <w:basedOn w:val="Standard"/>
    <w:rsid w:val="00C861F9"/>
    <w:pPr>
      <w:ind w:left="0"/>
    </w:pPr>
    <w:rPr>
      <w:rFonts w:cs="Arial"/>
      <w:b/>
    </w:rPr>
  </w:style>
  <w:style w:type="paragraph" w:customStyle="1" w:styleId="Dokumentberschrift">
    <w:name w:val="Dokumentüberschrift"/>
    <w:basedOn w:val="Standard"/>
    <w:rsid w:val="00C861F9"/>
    <w:pPr>
      <w:spacing w:after="360"/>
      <w:ind w:left="0"/>
    </w:pPr>
    <w:rPr>
      <w:rFonts w:cs="Arial"/>
      <w:b/>
      <w:color w:val="7F7F7F" w:themeColor="text1" w:themeTint="80"/>
      <w:sz w:val="32"/>
      <w:szCs w:val="32"/>
    </w:rPr>
  </w:style>
  <w:style w:type="paragraph" w:customStyle="1" w:styleId="Dokumentberschrift2">
    <w:name w:val="Dokumentüberschrift 2"/>
    <w:basedOn w:val="Standard"/>
    <w:rsid w:val="00C861F9"/>
    <w:pPr>
      <w:tabs>
        <w:tab w:val="left" w:pos="3416"/>
      </w:tabs>
      <w:spacing w:after="360"/>
      <w:ind w:left="0"/>
    </w:pPr>
    <w:rPr>
      <w:rFonts w:cs="Arial"/>
      <w:color w:val="7F7F7F"/>
      <w:sz w:val="32"/>
      <w:szCs w:val="32"/>
    </w:rPr>
  </w:style>
  <w:style w:type="character" w:styleId="Hyperlink">
    <w:name w:val="Hyperlink"/>
    <w:basedOn w:val="Absatz-Standardschriftart"/>
    <w:uiPriority w:val="99"/>
    <w:unhideWhenUsed/>
    <w:rsid w:val="0037188B"/>
    <w:rPr>
      <w:rFonts w:ascii="Noto Sans" w:hAnsi="Noto Sans"/>
      <w:color w:val="000000" w:themeColor="text1"/>
      <w:sz w:val="20"/>
      <w:u w:val="single"/>
    </w:rPr>
  </w:style>
  <w:style w:type="character" w:styleId="Kommentarzeichen">
    <w:name w:val="annotation reference"/>
    <w:semiHidden/>
    <w:rsid w:val="00617346"/>
    <w:rPr>
      <w:sz w:val="16"/>
    </w:rPr>
  </w:style>
  <w:style w:type="paragraph" w:styleId="Kommentartext">
    <w:name w:val="annotation text"/>
    <w:basedOn w:val="Standard"/>
    <w:link w:val="KommentartextZchn"/>
    <w:uiPriority w:val="99"/>
    <w:semiHidden/>
    <w:unhideWhenUsed/>
    <w:rsid w:val="00617346"/>
    <w:pPr>
      <w:spacing w:after="0" w:line="240" w:lineRule="auto"/>
      <w:ind w:left="0"/>
    </w:pPr>
    <w:rPr>
      <w:rFonts w:eastAsia="Times New Roman" w:cs="Times New Roman"/>
      <w:szCs w:val="20"/>
      <w:lang w:eastAsia="de-DE"/>
    </w:rPr>
  </w:style>
  <w:style w:type="character" w:customStyle="1" w:styleId="KommentartextZchn">
    <w:name w:val="Kommentartext Zchn"/>
    <w:basedOn w:val="Absatz-Standardschriftart"/>
    <w:link w:val="Kommentartext"/>
    <w:uiPriority w:val="99"/>
    <w:semiHidden/>
    <w:rsid w:val="00617346"/>
    <w:rPr>
      <w:rFonts w:ascii="Arial" w:eastAsia="Times New Roman" w:hAnsi="Arial" w:cs="Times New Roman"/>
      <w:sz w:val="20"/>
      <w:szCs w:val="20"/>
      <w:lang w:eastAsia="de-DE"/>
    </w:rPr>
  </w:style>
  <w:style w:type="paragraph" w:styleId="Beschriftung">
    <w:name w:val="caption"/>
    <w:basedOn w:val="Standard"/>
    <w:next w:val="Standardtext"/>
    <w:uiPriority w:val="35"/>
    <w:unhideWhenUsed/>
    <w:qFormat/>
    <w:rsid w:val="004B7D7F"/>
    <w:pPr>
      <w:spacing w:after="200" w:line="240" w:lineRule="auto"/>
      <w:ind w:left="0"/>
    </w:pPr>
    <w:rPr>
      <w:rFonts w:ascii="Noto Sans" w:hAnsi="Noto Sans"/>
      <w:b/>
      <w:bCs/>
      <w:sz w:val="16"/>
      <w:szCs w:val="18"/>
    </w:rPr>
  </w:style>
  <w:style w:type="paragraph" w:customStyle="1" w:styleId="BildunterschriftTabelle">
    <w:name w:val="Bildunterschrift Tabelle"/>
    <w:basedOn w:val="Beschriftung"/>
    <w:rsid w:val="00132F29"/>
    <w:pPr>
      <w:spacing w:after="360"/>
    </w:pPr>
    <w:rPr>
      <w:szCs w:val="14"/>
    </w:rPr>
  </w:style>
  <w:style w:type="paragraph" w:customStyle="1" w:styleId="DBrottext">
    <w:name w:val="D_Brottext"/>
    <w:rsid w:val="00CF0126"/>
    <w:pPr>
      <w:keepLines/>
      <w:spacing w:before="120" w:after="120" w:line="288" w:lineRule="auto"/>
      <w:ind w:left="851"/>
    </w:pPr>
    <w:rPr>
      <w:rFonts w:ascii="Arial" w:eastAsia="Times New Roman" w:hAnsi="Arial" w:cs="Times New Roman"/>
      <w:noProof/>
      <w:szCs w:val="20"/>
      <w:lang w:eastAsia="de-DE"/>
    </w:rPr>
  </w:style>
  <w:style w:type="paragraph" w:styleId="Inhaltsverzeichnisberschrift">
    <w:name w:val="TOC Heading"/>
    <w:basedOn w:val="berschrift1"/>
    <w:next w:val="Standard"/>
    <w:uiPriority w:val="39"/>
    <w:unhideWhenUsed/>
    <w:rsid w:val="0037188B"/>
    <w:pPr>
      <w:numPr>
        <w:numId w:val="0"/>
      </w:numPr>
      <w:spacing w:after="0"/>
      <w:outlineLvl w:val="9"/>
    </w:pPr>
    <w:rPr>
      <w:color w:val="auto"/>
      <w:sz w:val="32"/>
      <w:lang w:eastAsia="de-DE"/>
    </w:rPr>
  </w:style>
  <w:style w:type="paragraph" w:styleId="Verzeichnis1">
    <w:name w:val="toc 1"/>
    <w:basedOn w:val="Standard"/>
    <w:next w:val="Standard"/>
    <w:autoRedefine/>
    <w:uiPriority w:val="39"/>
    <w:unhideWhenUsed/>
    <w:rsid w:val="0037188B"/>
    <w:pPr>
      <w:spacing w:after="100"/>
      <w:ind w:left="0"/>
    </w:pPr>
    <w:rPr>
      <w:rFonts w:ascii="Noto Sans" w:hAnsi="Noto Sans"/>
    </w:rPr>
  </w:style>
  <w:style w:type="paragraph" w:styleId="Verzeichnis2">
    <w:name w:val="toc 2"/>
    <w:basedOn w:val="Standard"/>
    <w:next w:val="Standard"/>
    <w:autoRedefine/>
    <w:uiPriority w:val="39"/>
    <w:unhideWhenUsed/>
    <w:rsid w:val="0037188B"/>
    <w:pPr>
      <w:spacing w:after="100"/>
      <w:ind w:left="200"/>
    </w:pPr>
    <w:rPr>
      <w:rFonts w:ascii="Noto Sans" w:hAnsi="Noto Sans"/>
    </w:rPr>
  </w:style>
  <w:style w:type="paragraph" w:styleId="Verzeichnis3">
    <w:name w:val="toc 3"/>
    <w:basedOn w:val="Standard"/>
    <w:next w:val="Standard"/>
    <w:link w:val="Verzeichnis3Zchn"/>
    <w:autoRedefine/>
    <w:uiPriority w:val="39"/>
    <w:unhideWhenUsed/>
    <w:rsid w:val="0037188B"/>
    <w:pPr>
      <w:spacing w:after="100"/>
      <w:ind w:left="400"/>
    </w:pPr>
    <w:rPr>
      <w:rFonts w:ascii="Noto Sans" w:hAnsi="Noto Sans"/>
    </w:rPr>
  </w:style>
  <w:style w:type="paragraph" w:styleId="Abbildungsverzeichnis">
    <w:name w:val="table of figures"/>
    <w:basedOn w:val="Standard"/>
    <w:next w:val="Standard"/>
    <w:uiPriority w:val="99"/>
    <w:unhideWhenUsed/>
    <w:rsid w:val="00686C40"/>
    <w:pPr>
      <w:spacing w:after="0"/>
      <w:ind w:left="0"/>
    </w:pPr>
    <w:rPr>
      <w:rFonts w:asciiTheme="minorHAnsi" w:hAnsiTheme="minorHAnsi" w:cstheme="minorHAnsi"/>
      <w:i/>
      <w:iCs/>
      <w:szCs w:val="20"/>
    </w:rPr>
  </w:style>
  <w:style w:type="character" w:styleId="Hervorhebung">
    <w:name w:val="Emphasis"/>
    <w:basedOn w:val="Absatz-Standardschriftart"/>
    <w:uiPriority w:val="20"/>
    <w:rsid w:val="0043568A"/>
    <w:rPr>
      <w:i/>
      <w:iCs/>
    </w:rPr>
  </w:style>
  <w:style w:type="paragraph" w:styleId="KeinLeerraum">
    <w:name w:val="No Spacing"/>
    <w:uiPriority w:val="1"/>
    <w:rsid w:val="00A47A13"/>
    <w:pPr>
      <w:spacing w:after="0" w:line="260" w:lineRule="exact"/>
      <w:ind w:left="357"/>
    </w:pPr>
    <w:rPr>
      <w:rFonts w:ascii="Roboto" w:hAnsi="Roboto"/>
      <w:sz w:val="20"/>
    </w:rPr>
  </w:style>
  <w:style w:type="paragraph" w:customStyle="1" w:styleId="Grau">
    <w:name w:val="Grau"/>
    <w:aliases w:val="Noto Sans 16"/>
    <w:basedOn w:val="Standard"/>
    <w:next w:val="Standardtext"/>
    <w:qFormat/>
    <w:rsid w:val="0037188B"/>
    <w:pPr>
      <w:spacing w:before="240"/>
      <w:ind w:left="0"/>
      <w:jc w:val="both"/>
    </w:pPr>
    <w:rPr>
      <w:rFonts w:ascii="Noto Sans" w:hAnsi="Noto Sans"/>
      <w:color w:val="7F7F7F" w:themeColor="text1" w:themeTint="80"/>
      <w:sz w:val="32"/>
      <w:lang w:val="es-ES_tradnl"/>
    </w:rPr>
  </w:style>
  <w:style w:type="paragraph" w:customStyle="1" w:styleId="FettNotoSans10">
    <w:name w:val="Fett Noto Sans 10"/>
    <w:basedOn w:val="Standard"/>
    <w:qFormat/>
    <w:rsid w:val="0037188B"/>
    <w:pPr>
      <w:ind w:left="0"/>
    </w:pPr>
    <w:rPr>
      <w:rFonts w:ascii="Noto Sans" w:hAnsi="Noto Sans"/>
      <w:b/>
    </w:rPr>
  </w:style>
  <w:style w:type="paragraph" w:customStyle="1" w:styleId="Standart">
    <w:name w:val="Standart"/>
    <w:aliases w:val="ohne Einzug"/>
    <w:basedOn w:val="Standard"/>
    <w:rsid w:val="004B7D7F"/>
  </w:style>
  <w:style w:type="paragraph" w:customStyle="1" w:styleId="DTabelle">
    <w:name w:val="D_Tabelle"/>
    <w:rsid w:val="004B7D7F"/>
    <w:pPr>
      <w:suppressAutoHyphens/>
      <w:spacing w:before="60" w:after="60" w:line="240" w:lineRule="auto"/>
    </w:pPr>
    <w:rPr>
      <w:rFonts w:ascii="Arial" w:eastAsia="Times New Roman" w:hAnsi="Arial" w:cs="Times New Roman"/>
      <w:noProof/>
      <w:szCs w:val="20"/>
      <w:lang w:eastAsia="de-DE"/>
    </w:rPr>
  </w:style>
  <w:style w:type="paragraph" w:customStyle="1" w:styleId="DBrottextBlickfangpunkt">
    <w:name w:val="D_Brottext_Blickfangpunkt"/>
    <w:basedOn w:val="DBrottext"/>
    <w:rsid w:val="004B7D7F"/>
    <w:pPr>
      <w:numPr>
        <w:numId w:val="4"/>
      </w:numPr>
      <w:tabs>
        <w:tab w:val="clear" w:pos="397"/>
        <w:tab w:val="num" w:pos="1276"/>
      </w:tabs>
      <w:spacing w:before="60"/>
      <w:ind w:left="1276" w:hanging="425"/>
    </w:pPr>
  </w:style>
  <w:style w:type="paragraph" w:customStyle="1" w:styleId="DTabellefett">
    <w:name w:val="D_Tabelle_fett"/>
    <w:basedOn w:val="DTabelle"/>
    <w:rsid w:val="004B7D7F"/>
    <w:rPr>
      <w:b/>
    </w:rPr>
  </w:style>
  <w:style w:type="paragraph" w:customStyle="1" w:styleId="Verzeichnis2G">
    <w:name w:val="Verzeichnis 2G"/>
    <w:basedOn w:val="Verzeichnis3"/>
    <w:link w:val="Verzeichnis2GZchn"/>
    <w:rsid w:val="004B7D7F"/>
    <w:pPr>
      <w:tabs>
        <w:tab w:val="left" w:pos="1100"/>
        <w:tab w:val="right" w:leader="dot" w:pos="9854"/>
      </w:tabs>
    </w:pPr>
    <w:rPr>
      <w:rFonts w:cs="Arial"/>
      <w:noProof/>
    </w:rPr>
  </w:style>
  <w:style w:type="character" w:customStyle="1" w:styleId="Verzeichnis3Zchn">
    <w:name w:val="Verzeichnis 3 Zchn"/>
    <w:basedOn w:val="Absatz-Standardschriftart"/>
    <w:link w:val="Verzeichnis3"/>
    <w:uiPriority w:val="39"/>
    <w:rsid w:val="004B7D7F"/>
    <w:rPr>
      <w:rFonts w:ascii="Noto Sans" w:hAnsi="Noto Sans"/>
      <w:sz w:val="20"/>
    </w:rPr>
  </w:style>
  <w:style w:type="character" w:customStyle="1" w:styleId="Verzeichnis2GZchn">
    <w:name w:val="Verzeichnis 2G Zchn"/>
    <w:basedOn w:val="Verzeichnis3Zchn"/>
    <w:link w:val="Verzeichnis2G"/>
    <w:rsid w:val="004B7D7F"/>
    <w:rPr>
      <w:rFonts w:ascii="Noto Sans" w:hAnsi="Noto Sans" w:cs="Arial"/>
      <w:noProof/>
      <w:sz w:val="20"/>
    </w:rPr>
  </w:style>
  <w:style w:type="paragraph" w:customStyle="1" w:styleId="WeiFettNotoSans10">
    <w:name w:val="Weiß Fett Noto Sans 10"/>
    <w:basedOn w:val="FettNotoSans10"/>
    <w:qFormat/>
    <w:rsid w:val="00AC3929"/>
    <w:rPr>
      <w:noProof/>
      <w:color w:val="FFFFFF" w:themeColor="background1"/>
      <w:lang w:eastAsia="de-DE"/>
    </w:rPr>
  </w:style>
  <w:style w:type="paragraph" w:styleId="Kommentarthema">
    <w:name w:val="annotation subject"/>
    <w:basedOn w:val="Kommentartext"/>
    <w:next w:val="Kommentartext"/>
    <w:link w:val="KommentarthemaZchn"/>
    <w:uiPriority w:val="99"/>
    <w:semiHidden/>
    <w:unhideWhenUsed/>
    <w:rsid w:val="00E501EC"/>
    <w:pPr>
      <w:spacing w:after="120"/>
      <w:ind w:left="357"/>
    </w:pPr>
    <w:rPr>
      <w:rFonts w:eastAsiaTheme="minorHAnsi" w:cstheme="minorBidi"/>
      <w:b/>
      <w:bCs/>
      <w:lang w:eastAsia="en-US"/>
    </w:rPr>
  </w:style>
  <w:style w:type="character" w:customStyle="1" w:styleId="KommentarthemaZchn">
    <w:name w:val="Kommentarthema Zchn"/>
    <w:basedOn w:val="KommentartextZchn"/>
    <w:link w:val="Kommentarthema"/>
    <w:uiPriority w:val="99"/>
    <w:semiHidden/>
    <w:rsid w:val="00E501EC"/>
    <w:rPr>
      <w:rFonts w:ascii="Arial" w:eastAsia="Times New Roman" w:hAnsi="Arial" w:cs="Times New Roman"/>
      <w:b/>
      <w:bCs/>
      <w:sz w:val="20"/>
      <w:szCs w:val="20"/>
      <w:lang w:eastAsia="de-DE"/>
    </w:rPr>
  </w:style>
</w:styles>
</file>

<file path=word/webSettings.xml><?xml version="1.0" encoding="utf-8"?>
<w:webSettings xmlns:r="http://schemas.openxmlformats.org/officeDocument/2006/relationships" xmlns:w="http://schemas.openxmlformats.org/wordprocessingml/2006/main">
  <w:divs>
    <w:div w:id="624851685">
      <w:bodyDiv w:val="1"/>
      <w:marLeft w:val="0"/>
      <w:marRight w:val="0"/>
      <w:marTop w:val="0"/>
      <w:marBottom w:val="0"/>
      <w:divBdr>
        <w:top w:val="none" w:sz="0" w:space="0" w:color="auto"/>
        <w:left w:val="none" w:sz="0" w:space="0" w:color="auto"/>
        <w:bottom w:val="none" w:sz="0" w:space="0" w:color="auto"/>
        <w:right w:val="none" w:sz="0" w:space="0" w:color="auto"/>
      </w:divBdr>
    </w:div>
    <w:div w:id="806164517">
      <w:bodyDiv w:val="1"/>
      <w:marLeft w:val="0"/>
      <w:marRight w:val="0"/>
      <w:marTop w:val="0"/>
      <w:marBottom w:val="0"/>
      <w:divBdr>
        <w:top w:val="none" w:sz="0" w:space="0" w:color="auto"/>
        <w:left w:val="none" w:sz="0" w:space="0" w:color="auto"/>
        <w:bottom w:val="none" w:sz="0" w:space="0" w:color="auto"/>
        <w:right w:val="none" w:sz="0" w:space="0" w:color="auto"/>
      </w:divBdr>
    </w:div>
    <w:div w:id="1083337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17"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EDD0B74C49D54C3A96A4F7334856AAC8"/>
        <w:category>
          <w:name w:val="Allgemein"/>
          <w:gallery w:val="placeholder"/>
        </w:category>
        <w:types>
          <w:type w:val="bbPlcHdr"/>
        </w:types>
        <w:behaviors>
          <w:behavior w:val="content"/>
        </w:behaviors>
        <w:guid w:val="{E26F51D8-9EE1-4363-8E40-E410C62E8CE7}"/>
      </w:docPartPr>
      <w:docPartBody>
        <w:p w:rsidR="00E25150" w:rsidRDefault="003E4062" w:rsidP="003E4062">
          <w:pPr>
            <w:pStyle w:val="EDD0B74C49D54C3A96A4F7334856AAC8"/>
          </w:pPr>
          <w:r w:rsidRPr="005E653F">
            <w:rPr>
              <w:rStyle w:val="Platzhaltertext"/>
            </w:rPr>
            <w:t>Klicken Sie hier, um Text einzugeben.</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Noto Sans">
    <w:altName w:val="Segoe UI"/>
    <w:charset w:val="00"/>
    <w:family w:val="swiss"/>
    <w:pitch w:val="variable"/>
    <w:sig w:usb0="E00002FF" w:usb1="400078FF" w:usb2="0000002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Roboto">
    <w:altName w:val="Times New Roman"/>
    <w:charset w:val="00"/>
    <w:family w:val="auto"/>
    <w:pitch w:val="variable"/>
    <w:sig w:usb0="E00002FF" w:usb1="5000205B" w:usb2="00000020" w:usb3="00000000" w:csb0="0000019F" w:csb1="00000000"/>
  </w:font>
  <w:font w:name="Segoe UI">
    <w:panose1 w:val="020B0502040204020203"/>
    <w:charset w:val="00"/>
    <w:family w:val="swiss"/>
    <w:pitch w:val="variable"/>
    <w:sig w:usb0="E10022FF" w:usb1="C000E47F" w:usb2="00000029" w:usb3="00000000" w:csb0="000001D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85074D"/>
    <w:rsid w:val="000C50B8"/>
    <w:rsid w:val="00125A4C"/>
    <w:rsid w:val="0025156B"/>
    <w:rsid w:val="00347C0E"/>
    <w:rsid w:val="003A5D2A"/>
    <w:rsid w:val="003E4062"/>
    <w:rsid w:val="004B6C1C"/>
    <w:rsid w:val="00654E28"/>
    <w:rsid w:val="00680733"/>
    <w:rsid w:val="006E477E"/>
    <w:rsid w:val="007141DB"/>
    <w:rsid w:val="00742BBA"/>
    <w:rsid w:val="00845C51"/>
    <w:rsid w:val="0085074D"/>
    <w:rsid w:val="00A97855"/>
    <w:rsid w:val="00AC45A1"/>
    <w:rsid w:val="00AD12C5"/>
    <w:rsid w:val="00B43AB6"/>
    <w:rsid w:val="00B65EDE"/>
    <w:rsid w:val="00CB3EBE"/>
    <w:rsid w:val="00E25150"/>
    <w:rsid w:val="00F04784"/>
    <w:rsid w:val="00FB0855"/>
    <w:rsid w:val="00FD5438"/>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45C51"/>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E4062"/>
    <w:rPr>
      <w:color w:val="808080"/>
    </w:rPr>
  </w:style>
  <w:style w:type="paragraph" w:customStyle="1" w:styleId="D39C1D55DBBF444CB595E510ECE571A4">
    <w:name w:val="D39C1D55DBBF444CB595E510ECE571A4"/>
    <w:rsid w:val="00B43AB6"/>
    <w:pPr>
      <w:tabs>
        <w:tab w:val="center" w:pos="4536"/>
        <w:tab w:val="right" w:pos="9072"/>
      </w:tabs>
      <w:spacing w:after="0" w:line="240" w:lineRule="auto"/>
    </w:pPr>
    <w:rPr>
      <w:rFonts w:ascii="Arial" w:eastAsiaTheme="minorHAnsi" w:hAnsi="Arial"/>
      <w:sz w:val="20"/>
      <w:lang w:eastAsia="en-US"/>
    </w:rPr>
  </w:style>
  <w:style w:type="paragraph" w:customStyle="1" w:styleId="D39C1D55DBBF444CB595E510ECE571A41">
    <w:name w:val="D39C1D55DBBF444CB595E510ECE571A41"/>
    <w:rsid w:val="00B43AB6"/>
    <w:pPr>
      <w:tabs>
        <w:tab w:val="center" w:pos="4536"/>
        <w:tab w:val="right" w:pos="9072"/>
      </w:tabs>
      <w:spacing w:after="0" w:line="240" w:lineRule="auto"/>
    </w:pPr>
    <w:rPr>
      <w:rFonts w:ascii="Arial" w:eastAsiaTheme="minorHAnsi" w:hAnsi="Arial"/>
      <w:sz w:val="20"/>
      <w:lang w:eastAsia="en-US"/>
    </w:rPr>
  </w:style>
  <w:style w:type="paragraph" w:customStyle="1" w:styleId="86DFB973D515493783ED94D685FDF930">
    <w:name w:val="86DFB973D515493783ED94D685FDF930"/>
    <w:rsid w:val="00B43AB6"/>
  </w:style>
  <w:style w:type="paragraph" w:customStyle="1" w:styleId="8E3F5CDF2C5248BE9888611C1672DA99">
    <w:name w:val="8E3F5CDF2C5248BE9888611C1672DA99"/>
    <w:rsid w:val="00B65EDE"/>
  </w:style>
  <w:style w:type="paragraph" w:customStyle="1" w:styleId="26A715C5290E471EA8F8A0A7C9DE9989">
    <w:name w:val="26A715C5290E471EA8F8A0A7C9DE9989"/>
    <w:rsid w:val="00B65EDE"/>
  </w:style>
  <w:style w:type="paragraph" w:customStyle="1" w:styleId="C6DB36F2D1A14BCDA7F84EAF7922A106">
    <w:name w:val="C6DB36F2D1A14BCDA7F84EAF7922A106"/>
    <w:rsid w:val="00B65EDE"/>
  </w:style>
  <w:style w:type="paragraph" w:customStyle="1" w:styleId="EDD0B74C49D54C3A96A4F7334856AAC8">
    <w:name w:val="EDD0B74C49D54C3A96A4F7334856AAC8"/>
    <w:rsid w:val="003E4062"/>
  </w:style>
  <w:style w:type="paragraph" w:customStyle="1" w:styleId="15916AD34ECB4B09803F4FC28BB6BA95">
    <w:name w:val="15916AD34ECB4B09803F4FC28BB6BA95"/>
    <w:rsid w:val="006E477E"/>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A3B552-5A00-45AC-A5D2-CB7C78CC4C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1375</Words>
  <Characters>8666</Characters>
  <Application>Microsoft Office Word</Application>
  <DocSecurity>0</DocSecurity>
  <Lines>72</Lines>
  <Paragraphs>20</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10021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 Liesner</dc:creator>
  <cp:lastModifiedBy>Heike Millhoff</cp:lastModifiedBy>
  <cp:revision>3</cp:revision>
  <cp:lastPrinted>2015-04-23T07:06:00Z</cp:lastPrinted>
  <dcterms:created xsi:type="dcterms:W3CDTF">2015-04-27T08:52:00Z</dcterms:created>
  <dcterms:modified xsi:type="dcterms:W3CDTF">2015-04-27T09:00:00Z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DSTRING5">
    <vt:lpwstr>Platzhalter Beschreibung</vt:lpwstr>
  </property>
  <property fmtid="{D5CDD505-2E9C-101B-9397-08002B2CF9AE}" pid="3" name="PROLOCKDATE">
    <vt:lpwstr>07.08.2014</vt:lpwstr>
  </property>
  <property fmtid="{D5CDD505-2E9C-101B-9397-08002B2CF9AE}" pid="4" name="PROANLDAT">
    <vt:lpwstr>13.10.2014</vt:lpwstr>
  </property>
  <property fmtid="{D5CDD505-2E9C-101B-9397-08002B2CF9AE}" pid="5" name="PRODOKID">
    <vt:lpwstr>245143</vt:lpwstr>
  </property>
  <property fmtid="{D5CDD505-2E9C-101B-9397-08002B2CF9AE}" pid="6" name="PROREVISION">
    <vt:lpwstr>-</vt:lpwstr>
  </property>
  <property fmtid="{D5CDD505-2E9C-101B-9397-08002B2CF9AE}" pid="7" name="PROORGNAME">
    <vt:lpwstr>TA-Vorlage-technische-Anweisung.docx</vt:lpwstr>
  </property>
  <property fmtid="{D5CDD505-2E9C-101B-9397-08002B2CF9AE}" pid="8" name="PRODOKTYP">
    <vt:lpwstr>Datenblatt</vt:lpwstr>
  </property>
</Properties>
</file>