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8A3464" w14:textId="77777777" w:rsidR="00FA7462" w:rsidRDefault="00FA7462" w:rsidP="00FA7462">
      <w:pPr>
        <w:spacing w:before="0" w:beforeAutospacing="0" w:after="0" w:afterAutospacing="0" w:line="240" w:lineRule="auto"/>
        <w:jc w:val="center"/>
        <w:rPr>
          <w:b/>
          <w:sz w:val="28"/>
          <w:szCs w:val="28"/>
        </w:rPr>
      </w:pPr>
    </w:p>
    <w:p w14:paraId="1208B394" w14:textId="77777777" w:rsidR="00FA7462" w:rsidRDefault="00FA7462" w:rsidP="00FA7462">
      <w:pPr>
        <w:spacing w:before="0" w:beforeAutospacing="0" w:after="0" w:afterAutospacing="0" w:line="240" w:lineRule="auto"/>
        <w:jc w:val="center"/>
        <w:rPr>
          <w:b/>
          <w:sz w:val="28"/>
          <w:szCs w:val="28"/>
        </w:rPr>
      </w:pPr>
    </w:p>
    <w:p w14:paraId="72DDE0AC" w14:textId="77777777" w:rsidR="00FA7462" w:rsidRDefault="00FA7462" w:rsidP="00FA7462">
      <w:pPr>
        <w:spacing w:before="0" w:beforeAutospacing="0" w:after="0" w:afterAutospacing="0" w:line="240" w:lineRule="auto"/>
        <w:jc w:val="center"/>
        <w:rPr>
          <w:b/>
          <w:sz w:val="28"/>
          <w:szCs w:val="28"/>
        </w:rPr>
      </w:pPr>
    </w:p>
    <w:p w14:paraId="47FEDF87" w14:textId="68EB60C7" w:rsidR="00AD4848" w:rsidRPr="00FA7462" w:rsidRDefault="00AD4848" w:rsidP="00FA7462">
      <w:pPr>
        <w:spacing w:before="0" w:beforeAutospacing="0" w:after="0" w:afterAutospacing="0" w:line="240" w:lineRule="auto"/>
        <w:jc w:val="center"/>
        <w:rPr>
          <w:b/>
          <w:sz w:val="28"/>
          <w:szCs w:val="28"/>
        </w:rPr>
      </w:pPr>
      <w:r w:rsidRPr="00FA7462">
        <w:rPr>
          <w:b/>
          <w:sz w:val="28"/>
          <w:szCs w:val="28"/>
        </w:rPr>
        <w:t>EDNA-Presserundgang auf der E-world 201</w:t>
      </w:r>
      <w:r w:rsidR="00BF338E">
        <w:rPr>
          <w:b/>
          <w:sz w:val="28"/>
          <w:szCs w:val="28"/>
        </w:rPr>
        <w:t>6</w:t>
      </w:r>
    </w:p>
    <w:p w14:paraId="72B441B8" w14:textId="77777777" w:rsidR="00AD4848" w:rsidRPr="00FA7462" w:rsidRDefault="00AD4848" w:rsidP="00FA7462">
      <w:pPr>
        <w:spacing w:before="0" w:beforeAutospacing="0" w:after="0" w:afterAutospacing="0" w:line="240" w:lineRule="auto"/>
        <w:jc w:val="center"/>
        <w:rPr>
          <w:b/>
          <w:sz w:val="28"/>
          <w:szCs w:val="28"/>
        </w:rPr>
      </w:pPr>
    </w:p>
    <w:p w14:paraId="5E21D854" w14:textId="77777777" w:rsidR="00AD4848" w:rsidRPr="00FA7462" w:rsidRDefault="00AD4848" w:rsidP="00FA7462">
      <w:pPr>
        <w:spacing w:before="0" w:beforeAutospacing="0" w:after="0" w:afterAutospacing="0" w:line="240" w:lineRule="auto"/>
        <w:jc w:val="center"/>
        <w:rPr>
          <w:b/>
          <w:sz w:val="28"/>
          <w:szCs w:val="28"/>
        </w:rPr>
      </w:pPr>
      <w:r w:rsidRPr="00FA7462">
        <w:rPr>
          <w:b/>
          <w:sz w:val="28"/>
          <w:szCs w:val="28"/>
        </w:rPr>
        <w:t>Mittwoch, 17. Februar 2016 von 15 bis 16 Uhr</w:t>
      </w:r>
    </w:p>
    <w:p w14:paraId="4CF7032D" w14:textId="77777777" w:rsidR="00AD4848" w:rsidRDefault="00AD4848">
      <w:pPr>
        <w:spacing w:before="0" w:beforeAutospacing="0" w:after="0" w:afterAutospacing="0" w:line="240" w:lineRule="auto"/>
        <w:rPr>
          <w:b/>
        </w:rPr>
      </w:pPr>
    </w:p>
    <w:p w14:paraId="3B41A991" w14:textId="77777777" w:rsidR="00AD4848" w:rsidRDefault="00AD4848">
      <w:pPr>
        <w:spacing w:before="0" w:beforeAutospacing="0" w:after="0" w:afterAutospacing="0" w:line="240" w:lineRule="auto"/>
        <w:rPr>
          <w:b/>
        </w:rPr>
      </w:pPr>
    </w:p>
    <w:p w14:paraId="6112FFCF" w14:textId="77777777" w:rsidR="00AD4848" w:rsidRDefault="00AD4848">
      <w:pPr>
        <w:spacing w:before="0" w:beforeAutospacing="0" w:after="0" w:afterAutospacing="0" w:line="240" w:lineRule="auto"/>
        <w:rPr>
          <w:b/>
        </w:rPr>
      </w:pPr>
    </w:p>
    <w:p w14:paraId="4AB19250" w14:textId="37D5497E" w:rsidR="00AD4848" w:rsidRDefault="00FA7462" w:rsidP="00FA7462">
      <w:pPr>
        <w:spacing w:before="0" w:beforeAutospacing="0" w:after="0" w:afterAutospacing="0" w:line="240" w:lineRule="auto"/>
        <w:jc w:val="center"/>
        <w:rPr>
          <w:b/>
        </w:rPr>
      </w:pPr>
      <w:r>
        <w:rPr>
          <w:b/>
        </w:rPr>
        <w:t>Stationen:</w:t>
      </w:r>
    </w:p>
    <w:p w14:paraId="1BB63328" w14:textId="77777777" w:rsidR="00FA7462" w:rsidRDefault="00FA7462">
      <w:pPr>
        <w:spacing w:before="0" w:beforeAutospacing="0" w:after="0" w:afterAutospacing="0" w:line="240" w:lineRule="auto"/>
        <w:rPr>
          <w:b/>
        </w:rPr>
      </w:pPr>
    </w:p>
    <w:p w14:paraId="0C7136F3" w14:textId="77777777" w:rsidR="00FA7462" w:rsidRDefault="00FA7462">
      <w:pPr>
        <w:spacing w:before="0" w:beforeAutospacing="0" w:after="0" w:afterAutospacing="0" w:line="240" w:lineRule="auto"/>
        <w:rPr>
          <w:b/>
        </w:rPr>
      </w:pPr>
    </w:p>
    <w:p w14:paraId="6E55C963" w14:textId="77777777" w:rsidR="00FA7462" w:rsidRDefault="00FA7462">
      <w:pPr>
        <w:spacing w:before="0" w:beforeAutospacing="0" w:after="0" w:afterAutospacing="0" w:line="240" w:lineRule="auto"/>
        <w:rPr>
          <w:b/>
        </w:rPr>
      </w:pPr>
    </w:p>
    <w:p w14:paraId="7DC4948B" w14:textId="5E91BA52" w:rsidR="00FA7462" w:rsidRPr="00FA7462" w:rsidRDefault="00FA7462" w:rsidP="00FA7462">
      <w:pPr>
        <w:pStyle w:val="Listenabsatz"/>
        <w:numPr>
          <w:ilvl w:val="0"/>
          <w:numId w:val="7"/>
        </w:numPr>
        <w:rPr>
          <w:b/>
        </w:rPr>
      </w:pPr>
      <w:r w:rsidRPr="00FA7462">
        <w:rPr>
          <w:b/>
        </w:rPr>
        <w:t>DNV GL + EnBW – Halle 1, Stand 413</w:t>
      </w:r>
      <w:r w:rsidRPr="00FA7462">
        <w:rPr>
          <w:b/>
        </w:rPr>
        <w:br/>
      </w:r>
      <w:r w:rsidRPr="00FA7462">
        <w:rPr>
          <w:b/>
          <w:i/>
        </w:rPr>
        <w:t>„Aktive Teilhabe an der Börsenpreisentwicklung – Einbeziehung des Kunden in die Energiebeschaffung“</w:t>
      </w:r>
    </w:p>
    <w:p w14:paraId="0268CA2D" w14:textId="77777777" w:rsidR="00FA7462" w:rsidRPr="00FA7462" w:rsidRDefault="00FA7462" w:rsidP="00FA7462">
      <w:pPr>
        <w:rPr>
          <w:b/>
        </w:rPr>
      </w:pPr>
    </w:p>
    <w:p w14:paraId="523C1EE1" w14:textId="43147211" w:rsidR="00FA7462" w:rsidRPr="00FA7462" w:rsidRDefault="00FA7462" w:rsidP="00FA7462">
      <w:pPr>
        <w:pStyle w:val="Listenabsatz"/>
        <w:numPr>
          <w:ilvl w:val="0"/>
          <w:numId w:val="7"/>
        </w:numPr>
        <w:rPr>
          <w:b/>
        </w:rPr>
      </w:pPr>
      <w:r w:rsidRPr="00286CBD">
        <w:rPr>
          <w:b/>
        </w:rPr>
        <w:t>BTC AG + EWE Netz AG</w:t>
      </w:r>
      <w:r>
        <w:rPr>
          <w:b/>
        </w:rPr>
        <w:t xml:space="preserve"> – Halle 3, Stand 354</w:t>
      </w:r>
      <w:r>
        <w:rPr>
          <w:b/>
        </w:rPr>
        <w:br/>
      </w:r>
      <w:r w:rsidRPr="00FA7462">
        <w:rPr>
          <w:b/>
          <w:bCs/>
          <w:i/>
        </w:rPr>
        <w:t>„</w:t>
      </w:r>
      <w:r w:rsidRPr="00FA7462">
        <w:rPr>
          <w:b/>
          <w:i/>
        </w:rPr>
        <w:t>Dynamische Spitzenkappung: Digitale Netzintegration Erneuerbarer Energien</w:t>
      </w:r>
      <w:r w:rsidRPr="00FA7462">
        <w:rPr>
          <w:b/>
          <w:i/>
        </w:rPr>
        <w:br/>
        <w:t>BTC AG mit Kunden EWE NETZ GmbH“</w:t>
      </w:r>
    </w:p>
    <w:p w14:paraId="77B00165" w14:textId="77777777" w:rsidR="00FA7462" w:rsidRPr="00FA7462" w:rsidRDefault="00FA7462" w:rsidP="00FA7462">
      <w:pPr>
        <w:rPr>
          <w:b/>
        </w:rPr>
      </w:pPr>
    </w:p>
    <w:p w14:paraId="6BBAB5C3" w14:textId="5BA64997" w:rsidR="00AD4848" w:rsidRPr="00FA7462" w:rsidRDefault="00FA7462" w:rsidP="00FA7462">
      <w:pPr>
        <w:pStyle w:val="Listenabsatz"/>
        <w:numPr>
          <w:ilvl w:val="0"/>
          <w:numId w:val="7"/>
        </w:numPr>
        <w:rPr>
          <w:b/>
        </w:rPr>
      </w:pPr>
      <w:r w:rsidRPr="00FA7462">
        <w:rPr>
          <w:b/>
        </w:rPr>
        <w:t xml:space="preserve">IVU GmbH + Stadtwerke Norderstedt + MeterPan – Halle </w:t>
      </w:r>
      <w:r w:rsidR="005B7E59">
        <w:rPr>
          <w:b/>
        </w:rPr>
        <w:t>4</w:t>
      </w:r>
      <w:r w:rsidRPr="00FA7462">
        <w:rPr>
          <w:b/>
        </w:rPr>
        <w:t>, Stand 13</w:t>
      </w:r>
      <w:r w:rsidR="005B7E59">
        <w:rPr>
          <w:b/>
        </w:rPr>
        <w:t>3</w:t>
      </w:r>
      <w:r>
        <w:rPr>
          <w:b/>
        </w:rPr>
        <w:br/>
      </w:r>
      <w:r w:rsidRPr="00FA7462">
        <w:rPr>
          <w:b/>
          <w:i/>
        </w:rPr>
        <w:t>„Wie sich die Stadtwerke Norderstedt auf die Umsetzung der Digitalisierung der Energiewende vorbereiten“</w:t>
      </w:r>
    </w:p>
    <w:p w14:paraId="74B24FE5" w14:textId="77777777" w:rsidR="00FA7462" w:rsidRPr="00FA7462" w:rsidRDefault="00FA7462" w:rsidP="00FA7462">
      <w:pPr>
        <w:spacing w:after="0" w:line="240" w:lineRule="auto"/>
        <w:rPr>
          <w:b/>
        </w:rPr>
      </w:pPr>
    </w:p>
    <w:p w14:paraId="40EFEA4D" w14:textId="4EFC7240" w:rsidR="00FA7462" w:rsidRDefault="00AD4848">
      <w:pPr>
        <w:spacing w:before="0" w:beforeAutospacing="0" w:after="0" w:afterAutospacing="0" w:line="240" w:lineRule="auto"/>
        <w:rPr>
          <w:b/>
        </w:rPr>
      </w:pPr>
      <w:r>
        <w:rPr>
          <w:b/>
        </w:rPr>
        <w:br w:type="page"/>
      </w:r>
    </w:p>
    <w:p w14:paraId="45B7D8C4" w14:textId="77777777" w:rsidR="00FA7462" w:rsidRDefault="00FA7462">
      <w:pPr>
        <w:spacing w:before="0" w:beforeAutospacing="0" w:after="0" w:afterAutospacing="0" w:line="240" w:lineRule="auto"/>
        <w:rPr>
          <w:b/>
        </w:rPr>
      </w:pPr>
    </w:p>
    <w:p w14:paraId="6022054F" w14:textId="44EE16DE" w:rsidR="00AD4848" w:rsidRPr="0011239B" w:rsidRDefault="00AD4848" w:rsidP="00AD4848">
      <w:pPr>
        <w:pStyle w:val="Listenabsatz"/>
        <w:numPr>
          <w:ilvl w:val="0"/>
          <w:numId w:val="1"/>
        </w:numPr>
        <w:rPr>
          <w:b/>
        </w:rPr>
      </w:pPr>
      <w:r w:rsidRPr="0011239B">
        <w:rPr>
          <w:b/>
        </w:rPr>
        <w:t>DNV GL + EnBW</w:t>
      </w:r>
      <w:r>
        <w:rPr>
          <w:b/>
        </w:rPr>
        <w:t xml:space="preserve"> – </w:t>
      </w:r>
      <w:r>
        <w:rPr>
          <w:b/>
        </w:rPr>
        <w:t>Halle 1, Stand 413</w:t>
      </w:r>
    </w:p>
    <w:p w14:paraId="14328FDA" w14:textId="77777777" w:rsidR="00AD4848" w:rsidRPr="0011239B" w:rsidRDefault="00AD4848" w:rsidP="00AD4848">
      <w:pPr>
        <w:rPr>
          <w:b/>
        </w:rPr>
      </w:pPr>
      <w:r w:rsidRPr="0011239B">
        <w:rPr>
          <w:b/>
        </w:rPr>
        <w:t>„Aktive Teilhabe an der Börsenpreisentwicklung – Einbeziehung des Kunden in die Energiebeschaffung“</w:t>
      </w:r>
    </w:p>
    <w:p w14:paraId="72C5641A" w14:textId="716C90F5" w:rsidR="00AD4848" w:rsidRPr="0011239B" w:rsidRDefault="00AD4848" w:rsidP="00AD4848">
      <w:r w:rsidRPr="0011239B">
        <w:t>Veränderungen der Marktlage, aber auch die Digitalisierung</w:t>
      </w:r>
      <w:r w:rsidR="005B7E59">
        <w:t>,</w:t>
      </w:r>
      <w:r w:rsidRPr="0011239B">
        <w:t xml:space="preserve"> zeichnen sich deutlich in der Produktgestaltung der Energielieferanten ab.</w:t>
      </w:r>
      <w:r>
        <w:t xml:space="preserve"> </w:t>
      </w:r>
      <w:r w:rsidRPr="0011239B">
        <w:t>Nicht nur im B2B-Kundensegment der Größt- und Großkunden besteht ein hohes Interesse, aktiv an der Entwicklung der Börsenpreise zu partizipieren.</w:t>
      </w:r>
    </w:p>
    <w:p w14:paraId="199E2558" w14:textId="14AA75FD" w:rsidR="00AD4848" w:rsidRPr="0011239B" w:rsidRDefault="00AD4848" w:rsidP="00AD4848">
      <w:r w:rsidRPr="0011239B">
        <w:t>Die EnBW bietet hierfür ihren Kunden gezielt ein Produktportfolio an, welches eine aktive Bewirtschaftung von Stromlieferverträgen mit direkter Ver</w:t>
      </w:r>
      <w:r>
        <w:t xml:space="preserve">bindung zu den Preisentwicklungen </w:t>
      </w:r>
      <w:r w:rsidRPr="0011239B">
        <w:t>an der Strombörse erlaubt.</w:t>
      </w:r>
      <w:r>
        <w:t xml:space="preserve"> </w:t>
      </w:r>
      <w:r w:rsidRPr="0011239B">
        <w:t>DNV GL war maßgeblich an der Entwicklung dieser Produktfamilie und dem Aufbau der Portallösung für die Kundeninteraktion beteiligt.</w:t>
      </w:r>
    </w:p>
    <w:p w14:paraId="630B6A06" w14:textId="3BCF2425" w:rsidR="00AD4848" w:rsidRPr="0011239B" w:rsidRDefault="00AD4848" w:rsidP="00AD4848">
      <w:r w:rsidRPr="0011239B">
        <w:t xml:space="preserve">Im Zuge des Presserundgangs </w:t>
      </w:r>
      <w:r>
        <w:t>stellt DNV GL</w:t>
      </w:r>
      <w:r w:rsidRPr="0011239B">
        <w:t xml:space="preserve"> gemeinsam mit einem Vertreter der EnBW folgende Punkte vor:</w:t>
      </w:r>
    </w:p>
    <w:p w14:paraId="47EF45D7" w14:textId="77777777" w:rsidR="00AD4848" w:rsidRPr="0011239B" w:rsidRDefault="00AD4848" w:rsidP="00AD4848">
      <w:pPr>
        <w:pStyle w:val="Listenabsatz"/>
        <w:numPr>
          <w:ilvl w:val="0"/>
          <w:numId w:val="6"/>
        </w:numPr>
      </w:pPr>
      <w:r w:rsidRPr="0011239B">
        <w:t>Marktbedürfnis und Produktidee (speziell im Kundensegment B2B)</w:t>
      </w:r>
    </w:p>
    <w:p w14:paraId="415724E5" w14:textId="77777777" w:rsidR="00AD4848" w:rsidRPr="0011239B" w:rsidRDefault="00AD4848" w:rsidP="00AD4848">
      <w:pPr>
        <w:pStyle w:val="Listenabsatz"/>
        <w:numPr>
          <w:ilvl w:val="0"/>
          <w:numId w:val="6"/>
        </w:numPr>
      </w:pPr>
      <w:r w:rsidRPr="0011239B">
        <w:t>Generelle Funktionsweise der aktiven Bewirtschaftung des Stromliefervertrags durch den Kunden</w:t>
      </w:r>
    </w:p>
    <w:p w14:paraId="472F2C39" w14:textId="77777777" w:rsidR="00AD4848" w:rsidRPr="0011239B" w:rsidRDefault="00AD4848" w:rsidP="00AD4848">
      <w:pPr>
        <w:pStyle w:val="Listenabsatz"/>
        <w:numPr>
          <w:ilvl w:val="0"/>
          <w:numId w:val="6"/>
        </w:numPr>
      </w:pPr>
      <w:r w:rsidRPr="0011239B">
        <w:t>Skizzierung der modularen Umsetzungsweise</w:t>
      </w:r>
    </w:p>
    <w:p w14:paraId="77C06809" w14:textId="77777777" w:rsidR="00AD4848" w:rsidRPr="0011239B" w:rsidRDefault="00AD4848" w:rsidP="00AD4848">
      <w:pPr>
        <w:pStyle w:val="Listenabsatz"/>
        <w:numPr>
          <w:ilvl w:val="0"/>
          <w:numId w:val="6"/>
        </w:numPr>
      </w:pPr>
      <w:r w:rsidRPr="0011239B">
        <w:t>Vorführung des Kundenportals und Darstellung der möglichen Kundenaktion</w:t>
      </w:r>
    </w:p>
    <w:p w14:paraId="2B641F9A" w14:textId="77777777" w:rsidR="00AD4848" w:rsidRPr="0011239B" w:rsidRDefault="00AD4848" w:rsidP="00AD4848">
      <w:pPr>
        <w:pStyle w:val="Listenabsatz"/>
        <w:numPr>
          <w:ilvl w:val="0"/>
          <w:numId w:val="6"/>
        </w:numPr>
      </w:pPr>
      <w:r w:rsidRPr="0011239B">
        <w:t>Einbindung in die IT-Systemlandschaft</w:t>
      </w:r>
    </w:p>
    <w:p w14:paraId="3B1D1403" w14:textId="77777777" w:rsidR="00AD4848" w:rsidRDefault="00AD4848" w:rsidP="00AD4848">
      <w:pPr>
        <w:pStyle w:val="Listenabsatz"/>
        <w:numPr>
          <w:ilvl w:val="0"/>
          <w:numId w:val="6"/>
        </w:numPr>
      </w:pPr>
      <w:r w:rsidRPr="0011239B">
        <w:t>Fragen und weitere Erläuterungen</w:t>
      </w:r>
    </w:p>
    <w:p w14:paraId="7B0EE9A9" w14:textId="759B9CC6" w:rsidR="00AD4848" w:rsidRPr="00AD4848" w:rsidRDefault="00AD4848" w:rsidP="00AD4848">
      <w:pPr>
        <w:rPr>
          <w:b/>
        </w:rPr>
      </w:pPr>
      <w:r w:rsidRPr="00AD4848">
        <w:rPr>
          <w:b/>
        </w:rPr>
        <w:t>Kontakt:</w:t>
      </w:r>
      <w:r>
        <w:rPr>
          <w:b/>
        </w:rPr>
        <w:br/>
      </w:r>
      <w:r w:rsidRPr="00AD4848">
        <w:rPr>
          <w:bCs/>
        </w:rPr>
        <w:t>DNV GL Energy</w:t>
      </w:r>
      <w:r>
        <w:rPr>
          <w:b/>
          <w:bCs/>
        </w:rPr>
        <w:br/>
      </w:r>
      <w:r w:rsidRPr="0011239B">
        <w:t>Kurt-Schumacher-Str. 8</w:t>
      </w:r>
      <w:r w:rsidRPr="0011239B">
        <w:br/>
        <w:t>53113 Bonn</w:t>
      </w:r>
      <w:r>
        <w:br/>
      </w:r>
      <w:r w:rsidRPr="0011239B">
        <w:rPr>
          <w:bCs/>
        </w:rPr>
        <w:t>Arne Peters</w:t>
      </w:r>
      <w:r w:rsidRPr="0011239B">
        <w:rPr>
          <w:bCs/>
        </w:rPr>
        <w:br/>
        <w:t>Telefon: +49 228 44 690-35</w:t>
      </w:r>
      <w:r w:rsidRPr="0011239B">
        <w:rPr>
          <w:bCs/>
        </w:rPr>
        <w:br/>
        <w:t>Fax: +49 (0) 228 44690-99</w:t>
      </w:r>
      <w:r w:rsidRPr="0011239B">
        <w:rPr>
          <w:bCs/>
        </w:rPr>
        <w:br/>
        <w:t>E-Mail: </w:t>
      </w:r>
      <w:hyperlink r:id="rId7" w:history="1">
        <w:r w:rsidRPr="0011239B">
          <w:rPr>
            <w:rStyle w:val="Link"/>
            <w:bCs/>
          </w:rPr>
          <w:t>Arne.Peters@dnvgl.com</w:t>
        </w:r>
      </w:hyperlink>
    </w:p>
    <w:p w14:paraId="6CAD5F82" w14:textId="34C48079" w:rsidR="00AD4848" w:rsidRDefault="00AD4848">
      <w:pPr>
        <w:spacing w:before="0" w:beforeAutospacing="0" w:after="0" w:afterAutospacing="0" w:line="240" w:lineRule="auto"/>
        <w:rPr>
          <w:b/>
        </w:rPr>
      </w:pPr>
    </w:p>
    <w:p w14:paraId="7A4EB778" w14:textId="5235FF54" w:rsidR="00AD4848" w:rsidRPr="00286CBD" w:rsidRDefault="00AD4848" w:rsidP="00AD4848">
      <w:pPr>
        <w:pStyle w:val="Listenabsatz"/>
        <w:numPr>
          <w:ilvl w:val="0"/>
          <w:numId w:val="1"/>
        </w:numPr>
        <w:spacing w:after="0" w:line="240" w:lineRule="auto"/>
        <w:rPr>
          <w:b/>
        </w:rPr>
      </w:pPr>
      <w:r w:rsidRPr="00286CBD">
        <w:rPr>
          <w:b/>
        </w:rPr>
        <w:t>BTC AG + EWE Netz AG</w:t>
      </w:r>
      <w:r>
        <w:rPr>
          <w:b/>
        </w:rPr>
        <w:t xml:space="preserve"> – Halle 3, Stand 354</w:t>
      </w:r>
    </w:p>
    <w:p w14:paraId="38E17945" w14:textId="77777777" w:rsidR="00AD4848" w:rsidRDefault="00AD4848" w:rsidP="00AD4848">
      <w:pPr>
        <w:spacing w:after="0" w:line="240" w:lineRule="auto"/>
        <w:rPr>
          <w:b/>
          <w:bCs/>
        </w:rPr>
      </w:pPr>
      <w:r>
        <w:rPr>
          <w:b/>
          <w:bCs/>
        </w:rPr>
        <w:t>„</w:t>
      </w:r>
      <w:r w:rsidRPr="00286CBD">
        <w:rPr>
          <w:b/>
          <w:bCs/>
        </w:rPr>
        <w:t>Dynamische Spitzenkappung: Digitale Netzintegration Erneuerbarer Energien</w:t>
      </w:r>
      <w:r w:rsidRPr="00286CBD">
        <w:rPr>
          <w:b/>
          <w:bCs/>
        </w:rPr>
        <w:br/>
        <w:t>BTC AG mit Kunden EWE NETZ GmbH</w:t>
      </w:r>
      <w:r>
        <w:rPr>
          <w:b/>
          <w:bCs/>
        </w:rPr>
        <w:t>“</w:t>
      </w:r>
    </w:p>
    <w:p w14:paraId="3CF61D84" w14:textId="41DFD6DE" w:rsidR="00AD4848" w:rsidRPr="00286CBD" w:rsidRDefault="00AD4848" w:rsidP="00AD4848">
      <w:pPr>
        <w:rPr>
          <w:bCs/>
        </w:rPr>
      </w:pPr>
      <w:r w:rsidRPr="00286CBD">
        <w:rPr>
          <w:bCs/>
        </w:rPr>
        <w:t>Kürzlich wurde die "Spitzenkappung" von Erneuerbaren Energien im Stromnetz durch das Bundeskabinett beschlossen. Dies wird ein neues Zusammenspiel von Netzbetreibern, Besitzern und Betreibern von Erneuerbare</w:t>
      </w:r>
      <w:r w:rsidR="005B7E59">
        <w:rPr>
          <w:bCs/>
        </w:rPr>
        <w:t>n</w:t>
      </w:r>
      <w:r w:rsidRPr="00286CBD">
        <w:rPr>
          <w:bCs/>
        </w:rPr>
        <w:t xml:space="preserve"> Energieanlagen, Vermarktern und Dienstleistern im Umfeld </w:t>
      </w:r>
      <w:r w:rsidR="005B7E59">
        <w:rPr>
          <w:bCs/>
        </w:rPr>
        <w:t>„</w:t>
      </w:r>
      <w:r w:rsidRPr="00286CBD">
        <w:rPr>
          <w:bCs/>
        </w:rPr>
        <w:t>Intelligentes Messwesen</w:t>
      </w:r>
      <w:r w:rsidR="005B7E59">
        <w:rPr>
          <w:bCs/>
        </w:rPr>
        <w:t>“</w:t>
      </w:r>
      <w:r w:rsidRPr="00286CBD">
        <w:rPr>
          <w:bCs/>
        </w:rPr>
        <w:t xml:space="preserve"> etablieren. Erstmalig dürfen Netzbetreiber auch intelligente Technologien zum „digitalen Netzausbau“ einsetzen, statt Kapazitäten nur mittels „Kupfer“ (Leitungen, Transformatoren) bereitzustellen, um immer mehr Erneuerbare Energien ins Stromsystem zu integrieren: Im geringen Umfang von wenigen Prozent ihrer Jahresenergieeinspeisung dürfen PV- und Windenergieanlagen abgesenkt werden. Dies hat einen großen Hebel, da damit seltene Spitzenlastsituationen vermieden werden können, die volkswirtschaftlich besonders unwirtschaftlich mit konventionellem Netzausbau abgebildet werden müssten. Würde man nach dem vorherigen Ansatz Autobahnen auslegen, dann müsste man die Spuren vervielfachen</w:t>
      </w:r>
      <w:r w:rsidR="005B7E59">
        <w:rPr>
          <w:bCs/>
        </w:rPr>
        <w:t>,</w:t>
      </w:r>
      <w:r w:rsidRPr="00286CBD">
        <w:rPr>
          <w:bCs/>
        </w:rPr>
        <w:t xml:space="preserve"> um Staufreiheit auch bei seltenen Situationen </w:t>
      </w:r>
      <w:r w:rsidR="005B7E59">
        <w:rPr>
          <w:bCs/>
        </w:rPr>
        <w:t xml:space="preserve">– </w:t>
      </w:r>
      <w:r w:rsidRPr="00286CBD">
        <w:rPr>
          <w:bCs/>
        </w:rPr>
        <w:t>wie gleichzeitigem Auftreten von Ferienbeginn, Großveranstaltung und Feierabend</w:t>
      </w:r>
      <w:r w:rsidR="005B7E59">
        <w:rPr>
          <w:bCs/>
        </w:rPr>
        <w:t xml:space="preserve"> –</w:t>
      </w:r>
      <w:r w:rsidRPr="00286CBD">
        <w:rPr>
          <w:bCs/>
        </w:rPr>
        <w:t xml:space="preserve"> garantieren zu können. Viele prominente Studien (z.B. Verteilernetzstudie, dena-Smart-Meter-Studi</w:t>
      </w:r>
      <w:r w:rsidR="005B7E59">
        <w:rPr>
          <w:bCs/>
        </w:rPr>
        <w:t>e) haben das große Einsparpotenz</w:t>
      </w:r>
      <w:r w:rsidRPr="00286CBD">
        <w:rPr>
          <w:bCs/>
        </w:rPr>
        <w:t xml:space="preserve">ial des Ansatzes aufgezeigt. </w:t>
      </w:r>
    </w:p>
    <w:p w14:paraId="48D71570" w14:textId="277AB5C6" w:rsidR="00AD4848" w:rsidRPr="00286CBD" w:rsidRDefault="00AD4848" w:rsidP="00AD4848">
      <w:pPr>
        <w:rPr>
          <w:bCs/>
        </w:rPr>
      </w:pPr>
      <w:r w:rsidRPr="00286CBD">
        <w:rPr>
          <w:bCs/>
        </w:rPr>
        <w:t>Im Rahmen einer Zusamm</w:t>
      </w:r>
      <w:r>
        <w:rPr>
          <w:bCs/>
        </w:rPr>
        <w:t>en</w:t>
      </w:r>
      <w:r w:rsidRPr="00286CBD">
        <w:rPr>
          <w:bCs/>
        </w:rPr>
        <w:t xml:space="preserve">arbeit mit der EWE NETZ GmbH wurde eine Lösung zur Steuerung eines Mittelspannungsnetzes entwickelt und in einem einjährigen Praxisbetrieb erfolgreich eingesetzt. Dabei wurden größere Einspeiser (6 Windräder, 4 PV-Anlagen) nach dem Prinzip der dynamischen Spitzenkappung vollautomatisch geregelt. Auf dem Messestand </w:t>
      </w:r>
      <w:r w:rsidR="005B7E59">
        <w:rPr>
          <w:bCs/>
        </w:rPr>
        <w:t>stellen</w:t>
      </w:r>
      <w:r w:rsidRPr="00286CBD">
        <w:rPr>
          <w:bCs/>
        </w:rPr>
        <w:t xml:space="preserve"> BTC </w:t>
      </w:r>
      <w:r w:rsidR="005B7E59">
        <w:rPr>
          <w:bCs/>
        </w:rPr>
        <w:t xml:space="preserve">seine </w:t>
      </w:r>
      <w:r w:rsidRPr="00286CBD">
        <w:rPr>
          <w:bCs/>
        </w:rPr>
        <w:t>Lösung zur Umsetzung der dynamischen Spitzenkap</w:t>
      </w:r>
      <w:r w:rsidR="005B7E59">
        <w:rPr>
          <w:bCs/>
        </w:rPr>
        <w:t>pung für Verteilnetze vor</w:t>
      </w:r>
      <w:r w:rsidRPr="00286CBD">
        <w:rPr>
          <w:bCs/>
        </w:rPr>
        <w:t xml:space="preserve">. Dabei werden zu Engpasszeiten vollautomatisch Einspeiser feingranular und mit hoher Taktrate entsprechend der Netzkapazitäten geregelt. </w:t>
      </w:r>
    </w:p>
    <w:p w14:paraId="7E5E4446" w14:textId="633825BF" w:rsidR="00AD4848" w:rsidRPr="00286CBD" w:rsidRDefault="00AD4848" w:rsidP="00AD4848">
      <w:pPr>
        <w:rPr>
          <w:bCs/>
        </w:rPr>
      </w:pPr>
      <w:r w:rsidRPr="00286CBD">
        <w:rPr>
          <w:bCs/>
        </w:rPr>
        <w:t>Während des Presserundgangs wird ein hochkarätiger Vertreter der EWE NETZ GmbH über die Praxiserfahrungen und die Bedeutung im Kontext der Digitalisierung der Energiewirtschaft berichten und für Fragen zur Verfügung stehen. Die EWE NETZ GmbH ist ein Tochterunternehmen der EWE AG, des fünftgrößten Energieversorger Deutschlands. Die EWE NETZ GmbH betreibt ein umfangreiches Stromnetz in Nordwestdeutschland, in dem bereits seit 2013 ca. 70 % des transportierten Stroms aus Erneuerbaren Energien stammt. Im dem vom EWE initiierten Projekt „enera“ (www.energie-vernetzen.de) wird die BTC</w:t>
      </w:r>
      <w:r w:rsidR="005B7E59">
        <w:rPr>
          <w:bCs/>
        </w:rPr>
        <w:t>-Lösung</w:t>
      </w:r>
      <w:r w:rsidRPr="00286CBD">
        <w:rPr>
          <w:bCs/>
        </w:rPr>
        <w:t xml:space="preserve"> im Rahmen des BMWI Förderprogramms "Schaufenster intelligente Energie </w:t>
      </w:r>
      <w:r w:rsidR="005B7E59">
        <w:rPr>
          <w:bCs/>
        </w:rPr>
        <w:t>–</w:t>
      </w:r>
      <w:r w:rsidRPr="00286CBD">
        <w:rPr>
          <w:bCs/>
        </w:rPr>
        <w:t xml:space="preserve"> Digitale Agenda für die Energiewende", auf zahlreiche nordwestdeutsche Teilnetze ausgerollt werden.</w:t>
      </w:r>
    </w:p>
    <w:p w14:paraId="016E226D" w14:textId="7330D2AE" w:rsidR="00AD4848" w:rsidRDefault="00AD4848" w:rsidP="00AD4848">
      <w:pPr>
        <w:rPr>
          <w:bCs/>
        </w:rPr>
      </w:pPr>
      <w:r w:rsidRPr="00286CBD">
        <w:rPr>
          <w:bCs/>
        </w:rPr>
        <w:t xml:space="preserve">Das neue Paradigma im Netzbetrieb und in der Netzplanung bei Verteilnetzbetreibern betrifft auch das Zusammenspiel mit vielen anderen Akteuren des Energiesystems und hat somit Auswirkungen auf viele Marktteilnehmer in der Energiewirtschaft: Anlagenbetreiber werden für den Verzicht auf Einspeisung bis zur letzten Kilowattstunde entschädigt, wobei die bisherigen, vielfach händischen Entschädigungsprozesse sich zukünftig digitalisieren </w:t>
      </w:r>
      <w:r w:rsidR="005B7E59">
        <w:rPr>
          <w:bCs/>
        </w:rPr>
        <w:t>lassen</w:t>
      </w:r>
      <w:r w:rsidRPr="00286CBD">
        <w:rPr>
          <w:bCs/>
        </w:rPr>
        <w:t xml:space="preserve">. Für Vermarkter entstehen mehr Eingriffe in geplante Fahrpläne und der Bedarf für Ausgleichsenergie wird vermutlich steigen </w:t>
      </w:r>
      <w:r w:rsidR="005B7E59">
        <w:rPr>
          <w:bCs/>
        </w:rPr>
        <w:t>–</w:t>
      </w:r>
      <w:r w:rsidRPr="00286CBD">
        <w:rPr>
          <w:bCs/>
        </w:rPr>
        <w:t xml:space="preserve"> auch hier sind bessere Kommunikationsprozesse zwischen den Marktakteuren zu etablieren. Wie prominente Studien aufzeigen, besteht insbesondere für Akteure des </w:t>
      </w:r>
      <w:r w:rsidR="005B7E59">
        <w:rPr>
          <w:bCs/>
        </w:rPr>
        <w:t>i</w:t>
      </w:r>
      <w:r w:rsidRPr="00286CBD">
        <w:rPr>
          <w:bCs/>
        </w:rPr>
        <w:t>ntellige</w:t>
      </w:r>
      <w:r w:rsidR="005B7E59">
        <w:rPr>
          <w:bCs/>
        </w:rPr>
        <w:t>nten Messwesens ein hohes Potenz</w:t>
      </w:r>
      <w:r w:rsidRPr="00286CBD">
        <w:rPr>
          <w:bCs/>
        </w:rPr>
        <w:t>i</w:t>
      </w:r>
      <w:r w:rsidR="005B7E59">
        <w:rPr>
          <w:bCs/>
        </w:rPr>
        <w:t>al (Netzdienlichkeit), da sich i</w:t>
      </w:r>
      <w:r w:rsidRPr="00286CBD">
        <w:rPr>
          <w:bCs/>
        </w:rPr>
        <w:t>ntelligente Messsysteme sowohl als wirtschaftliche, sichere und skalierbare Kommunikations- und Steuerinfrastruktur anbieten.</w:t>
      </w:r>
    </w:p>
    <w:p w14:paraId="792B5FC6" w14:textId="77777777" w:rsidR="00AD4848" w:rsidRDefault="00AD4848" w:rsidP="00AD4848">
      <w:pPr>
        <w:rPr>
          <w:bCs/>
        </w:rPr>
      </w:pPr>
    </w:p>
    <w:p w14:paraId="10062745" w14:textId="11D0E73A" w:rsidR="00AD4848" w:rsidRDefault="00AD4848" w:rsidP="00AD4848">
      <w:pPr>
        <w:rPr>
          <w:bCs/>
        </w:rPr>
      </w:pPr>
      <w:r w:rsidRPr="00A13265">
        <w:rPr>
          <w:b/>
          <w:bCs/>
        </w:rPr>
        <w:t>Kontakt</w:t>
      </w:r>
      <w:r>
        <w:rPr>
          <w:b/>
          <w:bCs/>
        </w:rPr>
        <w:t>:</w:t>
      </w:r>
      <w:r w:rsidRPr="00A13265">
        <w:rPr>
          <w:b/>
          <w:bCs/>
        </w:rPr>
        <w:br/>
      </w:r>
      <w:r w:rsidRPr="00A13265">
        <w:rPr>
          <w:bCs/>
        </w:rPr>
        <w:t>Christian Volkmann </w:t>
      </w:r>
      <w:r>
        <w:rPr>
          <w:bCs/>
        </w:rPr>
        <w:t xml:space="preserve"> </w:t>
      </w:r>
      <w:r>
        <w:rPr>
          <w:bCs/>
        </w:rPr>
        <w:br/>
      </w:r>
      <w:r w:rsidRPr="00A13265">
        <w:rPr>
          <w:bCs/>
        </w:rPr>
        <w:t>MU Energie &amp; Telekommunikation   </w:t>
      </w:r>
      <w:r>
        <w:rPr>
          <w:bCs/>
        </w:rPr>
        <w:br/>
      </w:r>
      <w:r w:rsidRPr="00A13265">
        <w:rPr>
          <w:bCs/>
        </w:rPr>
        <w:t>BTC Business Technology Consulting AG</w:t>
      </w:r>
      <w:r>
        <w:rPr>
          <w:bCs/>
        </w:rPr>
        <w:br/>
      </w:r>
      <w:r w:rsidRPr="00A13265">
        <w:rPr>
          <w:bCs/>
        </w:rPr>
        <w:t>Burchhardstraße 24</w:t>
      </w:r>
      <w:r>
        <w:rPr>
          <w:bCs/>
        </w:rPr>
        <w:br/>
      </w:r>
      <w:r w:rsidRPr="00A13265">
        <w:rPr>
          <w:bCs/>
        </w:rPr>
        <w:t>20095 Hamburg</w:t>
      </w:r>
      <w:r>
        <w:rPr>
          <w:bCs/>
        </w:rPr>
        <w:br/>
      </w:r>
      <w:r w:rsidRPr="00A13265">
        <w:rPr>
          <w:bCs/>
        </w:rPr>
        <w:t>Tel:      +49 441 3612-5660  </w:t>
      </w:r>
      <w:r>
        <w:rPr>
          <w:bCs/>
        </w:rPr>
        <w:br/>
      </w:r>
      <w:r w:rsidRPr="00A13265">
        <w:rPr>
          <w:bCs/>
        </w:rPr>
        <w:t>Mobil:   +49 174 3335449 </w:t>
      </w:r>
      <w:r>
        <w:rPr>
          <w:bCs/>
        </w:rPr>
        <w:br/>
      </w:r>
      <w:r w:rsidRPr="00A13265">
        <w:rPr>
          <w:bCs/>
        </w:rPr>
        <w:t>Fax:     +49 441 3612-5676  </w:t>
      </w:r>
      <w:r>
        <w:rPr>
          <w:bCs/>
        </w:rPr>
        <w:br/>
      </w:r>
      <w:r w:rsidRPr="00A13265">
        <w:rPr>
          <w:bCs/>
        </w:rPr>
        <w:t>E-Mail:  </w:t>
      </w:r>
      <w:hyperlink r:id="rId8" w:history="1">
        <w:r w:rsidRPr="00A13265">
          <w:rPr>
            <w:rStyle w:val="Link"/>
            <w:bCs/>
          </w:rPr>
          <w:t>Christian.Volkmann@btc-ag.com</w:t>
        </w:r>
      </w:hyperlink>
      <w:r w:rsidRPr="00A13265">
        <w:rPr>
          <w:bCs/>
        </w:rPr>
        <w:t xml:space="preserve">  </w:t>
      </w:r>
      <w:r>
        <w:rPr>
          <w:bCs/>
        </w:rPr>
        <w:br/>
      </w:r>
      <w:r w:rsidRPr="00A13265">
        <w:rPr>
          <w:bCs/>
        </w:rPr>
        <w:t xml:space="preserve">Web:     </w:t>
      </w:r>
      <w:hyperlink r:id="rId9" w:history="1">
        <w:r w:rsidRPr="00A13265">
          <w:rPr>
            <w:rStyle w:val="Link"/>
            <w:bCs/>
          </w:rPr>
          <w:t>www.</w:t>
        </w:r>
        <w:r w:rsidRPr="00A13265">
          <w:rPr>
            <w:rStyle w:val="Link"/>
            <w:bCs/>
          </w:rPr>
          <w:t>b</w:t>
        </w:r>
        <w:r w:rsidRPr="00A13265">
          <w:rPr>
            <w:rStyle w:val="Link"/>
            <w:bCs/>
          </w:rPr>
          <w:t>tc-ag.com</w:t>
        </w:r>
      </w:hyperlink>
      <w:r w:rsidRPr="00286CBD">
        <w:rPr>
          <w:bCs/>
        </w:rPr>
        <w:t xml:space="preserve"> </w:t>
      </w:r>
    </w:p>
    <w:p w14:paraId="5D5A6BA7" w14:textId="0B7A1868" w:rsidR="00B2493B" w:rsidRDefault="00B2493B">
      <w:pPr>
        <w:spacing w:before="0" w:beforeAutospacing="0" w:after="0" w:afterAutospacing="0" w:line="240" w:lineRule="auto"/>
      </w:pPr>
    </w:p>
    <w:p w14:paraId="4666A235" w14:textId="77777777" w:rsidR="00AD4848" w:rsidRDefault="00AD4848">
      <w:pPr>
        <w:spacing w:before="0" w:beforeAutospacing="0" w:after="0" w:afterAutospacing="0" w:line="240" w:lineRule="auto"/>
        <w:rPr>
          <w:b/>
        </w:rPr>
      </w:pPr>
      <w:r>
        <w:rPr>
          <w:b/>
        </w:rPr>
        <w:br w:type="page"/>
      </w:r>
    </w:p>
    <w:p w14:paraId="18EBD116" w14:textId="2A8EAE0A" w:rsidR="00E5753F" w:rsidRDefault="00BF60E0" w:rsidP="00BF60E0">
      <w:pPr>
        <w:pStyle w:val="Listenabsatz"/>
        <w:numPr>
          <w:ilvl w:val="0"/>
          <w:numId w:val="1"/>
        </w:numPr>
        <w:rPr>
          <w:b/>
        </w:rPr>
      </w:pPr>
      <w:r w:rsidRPr="00286CBD">
        <w:rPr>
          <w:b/>
        </w:rPr>
        <w:t>IVU GmbH + Stadtwerke Norderstedt + MeterPan</w:t>
      </w:r>
      <w:r w:rsidR="00AD4848">
        <w:rPr>
          <w:b/>
        </w:rPr>
        <w:t xml:space="preserve"> – Halle </w:t>
      </w:r>
      <w:r w:rsidR="005B7E59">
        <w:rPr>
          <w:b/>
        </w:rPr>
        <w:t>4, Stand 133</w:t>
      </w:r>
    </w:p>
    <w:p w14:paraId="4F7AFD5C" w14:textId="49E654E7" w:rsidR="00AD4848" w:rsidRPr="00AD4848" w:rsidRDefault="00AD4848" w:rsidP="00AD4848">
      <w:pPr>
        <w:rPr>
          <w:b/>
        </w:rPr>
      </w:pPr>
      <w:r>
        <w:rPr>
          <w:b/>
        </w:rPr>
        <w:t>„Wie sich die Stadtwerke Norderstedt auf die Umsetzung der Digitalisierung der Energiewende vorbereiten“</w:t>
      </w:r>
    </w:p>
    <w:p w14:paraId="1852920E" w14:textId="50329E92" w:rsidR="00BF60E0" w:rsidRDefault="00BF60E0" w:rsidP="00BF60E0">
      <w:r w:rsidRPr="00BF60E0">
        <w:t xml:space="preserve">Auf </w:t>
      </w:r>
      <w:r w:rsidR="005B7E59">
        <w:t xml:space="preserve">dem </w:t>
      </w:r>
      <w:r w:rsidRPr="00BF60E0">
        <w:t xml:space="preserve">Stand in der Smart Energy Halle 4 Stand 133 </w:t>
      </w:r>
      <w:r w:rsidR="00AD4848">
        <w:t>gibt die IVU</w:t>
      </w:r>
      <w:r w:rsidRPr="00BF60E0">
        <w:t xml:space="preserve"> zusammen mit </w:t>
      </w:r>
      <w:r w:rsidR="005B7E59">
        <w:t>dem</w:t>
      </w:r>
      <w:r w:rsidRPr="00BF60E0">
        <w:t xml:space="preserve"> Tochterunternehmen MeterPan GmbH einen Einblick in die Praxis.</w:t>
      </w:r>
      <w:r w:rsidR="00286CBD">
        <w:t xml:space="preserve"> </w:t>
      </w:r>
      <w:r w:rsidRPr="00BF60E0">
        <w:t>Die Stadtwerke Norderstedt, Kunde und Mi</w:t>
      </w:r>
      <w:r w:rsidR="005B7E59">
        <w:t>tgründer der MeterPan, stellen i</w:t>
      </w:r>
      <w:r w:rsidRPr="00BF60E0">
        <w:t xml:space="preserve">hre Erfahrungen zum Thema Digitalisierung der Energiewirtschaft </w:t>
      </w:r>
      <w:r w:rsidR="005B7E59">
        <w:t>vor</w:t>
      </w:r>
      <w:r w:rsidRPr="00BF60E0">
        <w:t>. Die Stadtwerke Norderstedt treiben den im künftigen Messstellenbetriebsgesetz vorgeschriebenen Einbau von elektronischen Stromzählern zügig voran. Von den gut 45.000 im Norderstedter Netz befindlichen Stromzählern sind Ende 2015 bereits knapp 25.000 auf elektronische Zähler – sog. Smart Meter – umgerüstet. Dies ist bundesweit ein Spitzenwert.</w:t>
      </w:r>
    </w:p>
    <w:p w14:paraId="5E82C696" w14:textId="2E06B003" w:rsidR="00286CBD" w:rsidRDefault="00286CBD" w:rsidP="00BF60E0">
      <w:r w:rsidRPr="00286CBD">
        <w:t xml:space="preserve">Die MeterPan ist ein Unternehmen der IVU Informationssysteme GmbH, der DZG Oranienburg mbH, der Deutschen Netzmarketing GmbH und der Stadtwerke Norderstedt. Jedes dieser Unternehmen sorgt mit seinen Erfahrungen und seiner Expertise dafür, dass MeterPan </w:t>
      </w:r>
      <w:r w:rsidR="00AD4848">
        <w:t>den</w:t>
      </w:r>
      <w:r w:rsidRPr="00286CBD">
        <w:t xml:space="preserve"> Kunden über die gesamte Strecke begleiten </w:t>
      </w:r>
      <w:r w:rsidR="00AD4848">
        <w:t>kann</w:t>
      </w:r>
      <w:r w:rsidRPr="00286CBD">
        <w:t>: Von der Lieferung und Installation der Messsysteme über die Messdienstleistung bis hin zur Gateway-Administration als Hosting- und Dienstleistungslösung – MeterPan versorgt seine Kunden mit einer professionellen und modularen Komplettlösung für alle Belange des neuen Messwesens, wie z.B. auch die Meh</w:t>
      </w:r>
      <w:r w:rsidR="005B7E59">
        <w:t>rsparten-Auslesung.</w:t>
      </w:r>
      <w:r w:rsidR="005B7E59">
        <w:br/>
      </w:r>
      <w:r w:rsidR="005B7E59">
        <w:br/>
        <w:t>Auch bei</w:t>
      </w:r>
      <w:r w:rsidRPr="00286CBD">
        <w:t>m Thema Smart Meter Gateway Administration ha</w:t>
      </w:r>
      <w:r w:rsidR="00AD4848">
        <w:t xml:space="preserve">t sich die IVU die </w:t>
      </w:r>
      <w:r w:rsidRPr="00286CBD">
        <w:t xml:space="preserve">Marktanforderungen und die Bedürfnisse der Marktakteure genau angeschaut </w:t>
      </w:r>
      <w:r w:rsidR="00AD4848">
        <w:t>–</w:t>
      </w:r>
      <w:r w:rsidRPr="00286CBD">
        <w:t xml:space="preserve"> und </w:t>
      </w:r>
      <w:r w:rsidR="00AD4848">
        <w:t>sich dazu</w:t>
      </w:r>
      <w:r w:rsidRPr="00286CBD">
        <w:t xml:space="preserve"> entschlossen, diese Herausforderung im Team zu lösen: Gemeinsam mit </w:t>
      </w:r>
      <w:r w:rsidR="00AD4848">
        <w:t>den</w:t>
      </w:r>
      <w:r w:rsidRPr="00286CBD">
        <w:t xml:space="preserve"> Softwarepartnern Wilken und Kisters </w:t>
      </w:r>
      <w:r w:rsidR="00AD4848">
        <w:t>ist die IVU so</w:t>
      </w:r>
      <w:r w:rsidRPr="00286CBD">
        <w:t xml:space="preserve"> in der Lage, eine perfekt integrierte Lösung anzubieten. Versorgungsunternehmen erhalten damit die Chance, die Funktion der Smart Meter Gateway Administration auszufüllen, ohne in kostenintensive Technologie zu investieren oder das dafür benötigte Know-how innerhalb des Unternehmens aufbauen zu müssen. So übernimmt die MeterPan die Smart Meter Gateway Administration vollständig oder in Teilaufgaben. </w:t>
      </w:r>
    </w:p>
    <w:p w14:paraId="1561FD99" w14:textId="77777777" w:rsidR="005B7E59" w:rsidRDefault="005B7E59" w:rsidP="00FA7462">
      <w:pPr>
        <w:rPr>
          <w:b/>
        </w:rPr>
      </w:pPr>
    </w:p>
    <w:p w14:paraId="58535677" w14:textId="77F47033" w:rsidR="0011239B" w:rsidRPr="00FA7462" w:rsidRDefault="00BF60E0" w:rsidP="00FA7462">
      <w:bookmarkStart w:id="0" w:name="_GoBack"/>
      <w:bookmarkEnd w:id="0"/>
      <w:r w:rsidRPr="00BF60E0">
        <w:rPr>
          <w:b/>
        </w:rPr>
        <w:t>Kontakt:</w:t>
      </w:r>
      <w:r>
        <w:br/>
      </w:r>
      <w:r w:rsidRPr="00BF60E0">
        <w:rPr>
          <w:bCs/>
        </w:rPr>
        <w:t>Tabea Marcinkiewicz</w:t>
      </w:r>
      <w:r>
        <w:rPr>
          <w:bCs/>
        </w:rPr>
        <w:t xml:space="preserve"> </w:t>
      </w:r>
      <w:r w:rsidRPr="00BF60E0">
        <w:t xml:space="preserve"> - Marketing </w:t>
      </w:r>
      <w:r>
        <w:br/>
      </w:r>
      <w:r w:rsidRPr="00BF60E0">
        <w:t> Telefon: +49 40 525 064-42 | Mobil: +49 151 17927921 </w:t>
      </w:r>
      <w:r>
        <w:br/>
      </w:r>
      <w:r w:rsidRPr="00BF60E0">
        <w:t>eMail:     </w:t>
      </w:r>
      <w:hyperlink r:id="rId10" w:history="1">
        <w:r w:rsidRPr="00BF60E0">
          <w:rPr>
            <w:rStyle w:val="Link"/>
          </w:rPr>
          <w:t>tmarcinkiewicz@ivugmbh.de</w:t>
        </w:r>
      </w:hyperlink>
      <w:r w:rsidRPr="00BF60E0">
        <w:t xml:space="preserve">   </w:t>
      </w:r>
      <w:r>
        <w:br/>
      </w:r>
      <w:r w:rsidRPr="00BF60E0">
        <w:t>IVU Informationssysteme GmbH | Rathausallee 33 | 22846 Norderstedt</w:t>
      </w:r>
    </w:p>
    <w:sectPr w:rsidR="0011239B" w:rsidRPr="00FA7462" w:rsidSect="00E5753F">
      <w:headerReference w:type="default" r:id="rId11"/>
      <w:footerReference w:type="even" r:id="rId12"/>
      <w:footerReference w:type="default" r:id="rId13"/>
      <w:pgSz w:w="11900" w:h="16840"/>
      <w:pgMar w:top="176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8DEFD" w14:textId="77777777" w:rsidR="00EF1EA6" w:rsidRDefault="00EF1EA6" w:rsidP="00E5753F">
      <w:pPr>
        <w:spacing w:before="0" w:after="0" w:line="240" w:lineRule="auto"/>
      </w:pPr>
      <w:r>
        <w:separator/>
      </w:r>
    </w:p>
  </w:endnote>
  <w:endnote w:type="continuationSeparator" w:id="0">
    <w:p w14:paraId="15B9E4F2" w14:textId="77777777" w:rsidR="00EF1EA6" w:rsidRDefault="00EF1EA6" w:rsidP="00E575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FCF24" w14:textId="77777777" w:rsidR="00E5753F" w:rsidRDefault="00E5753F" w:rsidP="00C2545B">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A7A5D62" w14:textId="77777777" w:rsidR="00E5753F" w:rsidRDefault="00E5753F" w:rsidP="00E5753F">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A2757" w14:textId="77777777" w:rsidR="00E5753F" w:rsidRDefault="00E5753F" w:rsidP="00C2545B">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EF1EA6">
      <w:rPr>
        <w:rStyle w:val="Seitenzahl"/>
        <w:noProof/>
      </w:rPr>
      <w:t>1</w:t>
    </w:r>
    <w:r>
      <w:rPr>
        <w:rStyle w:val="Seitenzahl"/>
      </w:rPr>
      <w:fldChar w:fldCharType="end"/>
    </w:r>
  </w:p>
  <w:p w14:paraId="449435A2" w14:textId="77777777" w:rsidR="00E5753F" w:rsidRDefault="00E5753F" w:rsidP="00E5753F">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C0289" w14:textId="77777777" w:rsidR="00EF1EA6" w:rsidRDefault="00EF1EA6" w:rsidP="00E5753F">
      <w:pPr>
        <w:spacing w:before="0" w:after="0" w:line="240" w:lineRule="auto"/>
      </w:pPr>
      <w:r>
        <w:separator/>
      </w:r>
    </w:p>
  </w:footnote>
  <w:footnote w:type="continuationSeparator" w:id="0">
    <w:p w14:paraId="41FA416F" w14:textId="77777777" w:rsidR="00EF1EA6" w:rsidRDefault="00EF1EA6" w:rsidP="00E5753F">
      <w:pPr>
        <w:spacing w:before="0"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A402D" w14:textId="139B94AE" w:rsidR="00E5753F" w:rsidRDefault="00AD4848" w:rsidP="00FA7462">
    <w:pPr>
      <w:pStyle w:val="Kopfzeile"/>
      <w:jc w:val="right"/>
    </w:pPr>
    <w:r>
      <w:rPr>
        <w:noProof/>
        <w:lang w:eastAsia="de-DE"/>
      </w:rPr>
      <w:drawing>
        <wp:inline distT="0" distB="0" distL="0" distR="0" wp14:anchorId="52A3A1EA" wp14:editId="69743415">
          <wp:extent cx="1206388" cy="634529"/>
          <wp:effectExtent l="0" t="0" r="0" b="63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N_Logo_2011_4c.eps"/>
                  <pic:cNvPicPr/>
                </pic:nvPicPr>
                <pic:blipFill>
                  <a:blip r:embed="rId1">
                    <a:extLst>
                      <a:ext uri="{28A0092B-C50C-407E-A947-70E740481C1C}">
                        <a14:useLocalDpi xmlns:a14="http://schemas.microsoft.com/office/drawing/2010/main" val="0"/>
                      </a:ext>
                    </a:extLst>
                  </a:blip>
                  <a:stretch>
                    <a:fillRect/>
                  </a:stretch>
                </pic:blipFill>
                <pic:spPr>
                  <a:xfrm>
                    <a:off x="0" y="0"/>
                    <a:ext cx="1229343" cy="646603"/>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54D79"/>
    <w:multiLevelType w:val="hybridMultilevel"/>
    <w:tmpl w:val="E474D0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A3508D1"/>
    <w:multiLevelType w:val="hybridMultilevel"/>
    <w:tmpl w:val="1F82499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5DA07D97"/>
    <w:multiLevelType w:val="hybridMultilevel"/>
    <w:tmpl w:val="D940069A"/>
    <w:lvl w:ilvl="0" w:tplc="A4D6592A">
      <w:start w:val="1"/>
      <w:numFmt w:val="bullet"/>
      <w:lvlText w:val=""/>
      <w:lvlJc w:val="left"/>
      <w:pPr>
        <w:tabs>
          <w:tab w:val="num" w:pos="720"/>
        </w:tabs>
        <w:ind w:left="720" w:hanging="360"/>
      </w:pPr>
      <w:rPr>
        <w:rFonts w:ascii="Wingdings" w:hAnsi="Wingdings" w:hint="default"/>
      </w:rPr>
    </w:lvl>
    <w:lvl w:ilvl="1" w:tplc="2F8A4DF8" w:tentative="1">
      <w:start w:val="1"/>
      <w:numFmt w:val="bullet"/>
      <w:lvlText w:val=""/>
      <w:lvlJc w:val="left"/>
      <w:pPr>
        <w:tabs>
          <w:tab w:val="num" w:pos="1440"/>
        </w:tabs>
        <w:ind w:left="1440" w:hanging="360"/>
      </w:pPr>
      <w:rPr>
        <w:rFonts w:ascii="Wingdings" w:hAnsi="Wingdings" w:hint="default"/>
      </w:rPr>
    </w:lvl>
    <w:lvl w:ilvl="2" w:tplc="BCEE959A" w:tentative="1">
      <w:start w:val="1"/>
      <w:numFmt w:val="bullet"/>
      <w:lvlText w:val=""/>
      <w:lvlJc w:val="left"/>
      <w:pPr>
        <w:tabs>
          <w:tab w:val="num" w:pos="2160"/>
        </w:tabs>
        <w:ind w:left="2160" w:hanging="360"/>
      </w:pPr>
      <w:rPr>
        <w:rFonts w:ascii="Wingdings" w:hAnsi="Wingdings" w:hint="default"/>
      </w:rPr>
    </w:lvl>
    <w:lvl w:ilvl="3" w:tplc="A9DA8EA2" w:tentative="1">
      <w:start w:val="1"/>
      <w:numFmt w:val="bullet"/>
      <w:lvlText w:val=""/>
      <w:lvlJc w:val="left"/>
      <w:pPr>
        <w:tabs>
          <w:tab w:val="num" w:pos="2880"/>
        </w:tabs>
        <w:ind w:left="2880" w:hanging="360"/>
      </w:pPr>
      <w:rPr>
        <w:rFonts w:ascii="Wingdings" w:hAnsi="Wingdings" w:hint="default"/>
      </w:rPr>
    </w:lvl>
    <w:lvl w:ilvl="4" w:tplc="66206FB6" w:tentative="1">
      <w:start w:val="1"/>
      <w:numFmt w:val="bullet"/>
      <w:lvlText w:val=""/>
      <w:lvlJc w:val="left"/>
      <w:pPr>
        <w:tabs>
          <w:tab w:val="num" w:pos="3600"/>
        </w:tabs>
        <w:ind w:left="3600" w:hanging="360"/>
      </w:pPr>
      <w:rPr>
        <w:rFonts w:ascii="Wingdings" w:hAnsi="Wingdings" w:hint="default"/>
      </w:rPr>
    </w:lvl>
    <w:lvl w:ilvl="5" w:tplc="FFBC60EA" w:tentative="1">
      <w:start w:val="1"/>
      <w:numFmt w:val="bullet"/>
      <w:lvlText w:val=""/>
      <w:lvlJc w:val="left"/>
      <w:pPr>
        <w:tabs>
          <w:tab w:val="num" w:pos="4320"/>
        </w:tabs>
        <w:ind w:left="4320" w:hanging="360"/>
      </w:pPr>
      <w:rPr>
        <w:rFonts w:ascii="Wingdings" w:hAnsi="Wingdings" w:hint="default"/>
      </w:rPr>
    </w:lvl>
    <w:lvl w:ilvl="6" w:tplc="73B089A2" w:tentative="1">
      <w:start w:val="1"/>
      <w:numFmt w:val="bullet"/>
      <w:lvlText w:val=""/>
      <w:lvlJc w:val="left"/>
      <w:pPr>
        <w:tabs>
          <w:tab w:val="num" w:pos="5040"/>
        </w:tabs>
        <w:ind w:left="5040" w:hanging="360"/>
      </w:pPr>
      <w:rPr>
        <w:rFonts w:ascii="Wingdings" w:hAnsi="Wingdings" w:hint="default"/>
      </w:rPr>
    </w:lvl>
    <w:lvl w:ilvl="7" w:tplc="8744CDA6" w:tentative="1">
      <w:start w:val="1"/>
      <w:numFmt w:val="bullet"/>
      <w:lvlText w:val=""/>
      <w:lvlJc w:val="left"/>
      <w:pPr>
        <w:tabs>
          <w:tab w:val="num" w:pos="5760"/>
        </w:tabs>
        <w:ind w:left="5760" w:hanging="360"/>
      </w:pPr>
      <w:rPr>
        <w:rFonts w:ascii="Wingdings" w:hAnsi="Wingdings" w:hint="default"/>
      </w:rPr>
    </w:lvl>
    <w:lvl w:ilvl="8" w:tplc="16E82962" w:tentative="1">
      <w:start w:val="1"/>
      <w:numFmt w:val="bullet"/>
      <w:lvlText w:val=""/>
      <w:lvlJc w:val="left"/>
      <w:pPr>
        <w:tabs>
          <w:tab w:val="num" w:pos="6480"/>
        </w:tabs>
        <w:ind w:left="6480" w:hanging="360"/>
      </w:pPr>
      <w:rPr>
        <w:rFonts w:ascii="Wingdings" w:hAnsi="Wingdings" w:hint="default"/>
      </w:rPr>
    </w:lvl>
  </w:abstractNum>
  <w:abstractNum w:abstractNumId="3">
    <w:nsid w:val="629374CA"/>
    <w:multiLevelType w:val="hybridMultilevel"/>
    <w:tmpl w:val="83E434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381275E"/>
    <w:multiLevelType w:val="hybridMultilevel"/>
    <w:tmpl w:val="E996E240"/>
    <w:lvl w:ilvl="0" w:tplc="57224B90">
      <w:start w:val="1"/>
      <w:numFmt w:val="bullet"/>
      <w:lvlText w:val=""/>
      <w:lvlJc w:val="left"/>
      <w:pPr>
        <w:tabs>
          <w:tab w:val="num" w:pos="720"/>
        </w:tabs>
        <w:ind w:left="720" w:hanging="360"/>
      </w:pPr>
      <w:rPr>
        <w:rFonts w:ascii="Wingdings" w:hAnsi="Wingdings" w:hint="default"/>
      </w:rPr>
    </w:lvl>
    <w:lvl w:ilvl="1" w:tplc="256C1DF4" w:tentative="1">
      <w:start w:val="1"/>
      <w:numFmt w:val="bullet"/>
      <w:lvlText w:val=""/>
      <w:lvlJc w:val="left"/>
      <w:pPr>
        <w:tabs>
          <w:tab w:val="num" w:pos="1440"/>
        </w:tabs>
        <w:ind w:left="1440" w:hanging="360"/>
      </w:pPr>
      <w:rPr>
        <w:rFonts w:ascii="Wingdings" w:hAnsi="Wingdings" w:hint="default"/>
      </w:rPr>
    </w:lvl>
    <w:lvl w:ilvl="2" w:tplc="975A04EC" w:tentative="1">
      <w:start w:val="1"/>
      <w:numFmt w:val="bullet"/>
      <w:lvlText w:val=""/>
      <w:lvlJc w:val="left"/>
      <w:pPr>
        <w:tabs>
          <w:tab w:val="num" w:pos="2160"/>
        </w:tabs>
        <w:ind w:left="2160" w:hanging="360"/>
      </w:pPr>
      <w:rPr>
        <w:rFonts w:ascii="Wingdings" w:hAnsi="Wingdings" w:hint="default"/>
      </w:rPr>
    </w:lvl>
    <w:lvl w:ilvl="3" w:tplc="47E46144" w:tentative="1">
      <w:start w:val="1"/>
      <w:numFmt w:val="bullet"/>
      <w:lvlText w:val=""/>
      <w:lvlJc w:val="left"/>
      <w:pPr>
        <w:tabs>
          <w:tab w:val="num" w:pos="2880"/>
        </w:tabs>
        <w:ind w:left="2880" w:hanging="360"/>
      </w:pPr>
      <w:rPr>
        <w:rFonts w:ascii="Wingdings" w:hAnsi="Wingdings" w:hint="default"/>
      </w:rPr>
    </w:lvl>
    <w:lvl w:ilvl="4" w:tplc="F85EE528" w:tentative="1">
      <w:start w:val="1"/>
      <w:numFmt w:val="bullet"/>
      <w:lvlText w:val=""/>
      <w:lvlJc w:val="left"/>
      <w:pPr>
        <w:tabs>
          <w:tab w:val="num" w:pos="3600"/>
        </w:tabs>
        <w:ind w:left="3600" w:hanging="360"/>
      </w:pPr>
      <w:rPr>
        <w:rFonts w:ascii="Wingdings" w:hAnsi="Wingdings" w:hint="default"/>
      </w:rPr>
    </w:lvl>
    <w:lvl w:ilvl="5" w:tplc="B56441C0" w:tentative="1">
      <w:start w:val="1"/>
      <w:numFmt w:val="bullet"/>
      <w:lvlText w:val=""/>
      <w:lvlJc w:val="left"/>
      <w:pPr>
        <w:tabs>
          <w:tab w:val="num" w:pos="4320"/>
        </w:tabs>
        <w:ind w:left="4320" w:hanging="360"/>
      </w:pPr>
      <w:rPr>
        <w:rFonts w:ascii="Wingdings" w:hAnsi="Wingdings" w:hint="default"/>
      </w:rPr>
    </w:lvl>
    <w:lvl w:ilvl="6" w:tplc="B8B0E474" w:tentative="1">
      <w:start w:val="1"/>
      <w:numFmt w:val="bullet"/>
      <w:lvlText w:val=""/>
      <w:lvlJc w:val="left"/>
      <w:pPr>
        <w:tabs>
          <w:tab w:val="num" w:pos="5040"/>
        </w:tabs>
        <w:ind w:left="5040" w:hanging="360"/>
      </w:pPr>
      <w:rPr>
        <w:rFonts w:ascii="Wingdings" w:hAnsi="Wingdings" w:hint="default"/>
      </w:rPr>
    </w:lvl>
    <w:lvl w:ilvl="7" w:tplc="B0C06B40" w:tentative="1">
      <w:start w:val="1"/>
      <w:numFmt w:val="bullet"/>
      <w:lvlText w:val=""/>
      <w:lvlJc w:val="left"/>
      <w:pPr>
        <w:tabs>
          <w:tab w:val="num" w:pos="5760"/>
        </w:tabs>
        <w:ind w:left="5760" w:hanging="360"/>
      </w:pPr>
      <w:rPr>
        <w:rFonts w:ascii="Wingdings" w:hAnsi="Wingdings" w:hint="default"/>
      </w:rPr>
    </w:lvl>
    <w:lvl w:ilvl="8" w:tplc="DBD622B8" w:tentative="1">
      <w:start w:val="1"/>
      <w:numFmt w:val="bullet"/>
      <w:lvlText w:val=""/>
      <w:lvlJc w:val="left"/>
      <w:pPr>
        <w:tabs>
          <w:tab w:val="num" w:pos="6480"/>
        </w:tabs>
        <w:ind w:left="6480" w:hanging="360"/>
      </w:pPr>
      <w:rPr>
        <w:rFonts w:ascii="Wingdings" w:hAnsi="Wingdings" w:hint="default"/>
      </w:rPr>
    </w:lvl>
  </w:abstractNum>
  <w:abstractNum w:abstractNumId="5">
    <w:nsid w:val="65FF2E4F"/>
    <w:multiLevelType w:val="hybridMultilevel"/>
    <w:tmpl w:val="364EC044"/>
    <w:lvl w:ilvl="0" w:tplc="EF3C7D8E">
      <w:start w:val="8"/>
      <w:numFmt w:val="bullet"/>
      <w:lvlText w:val="-"/>
      <w:lvlJc w:val="left"/>
      <w:pPr>
        <w:ind w:left="720" w:hanging="360"/>
      </w:pPr>
      <w:rPr>
        <w:rFonts w:ascii="Helvetica" w:eastAsiaTheme="minorHAnsi" w:hAnsi="Helvetic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04013EC"/>
    <w:multiLevelType w:val="hybridMultilevel"/>
    <w:tmpl w:val="F3B2763A"/>
    <w:lvl w:ilvl="0" w:tplc="15E2BD56">
      <w:start w:val="1"/>
      <w:numFmt w:val="bullet"/>
      <w:lvlText w:val=""/>
      <w:lvlJc w:val="left"/>
      <w:pPr>
        <w:tabs>
          <w:tab w:val="num" w:pos="720"/>
        </w:tabs>
        <w:ind w:left="720" w:hanging="360"/>
      </w:pPr>
      <w:rPr>
        <w:rFonts w:ascii="Wingdings" w:hAnsi="Wingdings" w:hint="default"/>
      </w:rPr>
    </w:lvl>
    <w:lvl w:ilvl="1" w:tplc="0918448C" w:tentative="1">
      <w:start w:val="1"/>
      <w:numFmt w:val="bullet"/>
      <w:lvlText w:val=""/>
      <w:lvlJc w:val="left"/>
      <w:pPr>
        <w:tabs>
          <w:tab w:val="num" w:pos="1440"/>
        </w:tabs>
        <w:ind w:left="1440" w:hanging="360"/>
      </w:pPr>
      <w:rPr>
        <w:rFonts w:ascii="Wingdings" w:hAnsi="Wingdings" w:hint="default"/>
      </w:rPr>
    </w:lvl>
    <w:lvl w:ilvl="2" w:tplc="03E278A4" w:tentative="1">
      <w:start w:val="1"/>
      <w:numFmt w:val="bullet"/>
      <w:lvlText w:val=""/>
      <w:lvlJc w:val="left"/>
      <w:pPr>
        <w:tabs>
          <w:tab w:val="num" w:pos="2160"/>
        </w:tabs>
        <w:ind w:left="2160" w:hanging="360"/>
      </w:pPr>
      <w:rPr>
        <w:rFonts w:ascii="Wingdings" w:hAnsi="Wingdings" w:hint="default"/>
      </w:rPr>
    </w:lvl>
    <w:lvl w:ilvl="3" w:tplc="921CD884" w:tentative="1">
      <w:start w:val="1"/>
      <w:numFmt w:val="bullet"/>
      <w:lvlText w:val=""/>
      <w:lvlJc w:val="left"/>
      <w:pPr>
        <w:tabs>
          <w:tab w:val="num" w:pos="2880"/>
        </w:tabs>
        <w:ind w:left="2880" w:hanging="360"/>
      </w:pPr>
      <w:rPr>
        <w:rFonts w:ascii="Wingdings" w:hAnsi="Wingdings" w:hint="default"/>
      </w:rPr>
    </w:lvl>
    <w:lvl w:ilvl="4" w:tplc="BF8602E4" w:tentative="1">
      <w:start w:val="1"/>
      <w:numFmt w:val="bullet"/>
      <w:lvlText w:val=""/>
      <w:lvlJc w:val="left"/>
      <w:pPr>
        <w:tabs>
          <w:tab w:val="num" w:pos="3600"/>
        </w:tabs>
        <w:ind w:left="3600" w:hanging="360"/>
      </w:pPr>
      <w:rPr>
        <w:rFonts w:ascii="Wingdings" w:hAnsi="Wingdings" w:hint="default"/>
      </w:rPr>
    </w:lvl>
    <w:lvl w:ilvl="5" w:tplc="32F69042" w:tentative="1">
      <w:start w:val="1"/>
      <w:numFmt w:val="bullet"/>
      <w:lvlText w:val=""/>
      <w:lvlJc w:val="left"/>
      <w:pPr>
        <w:tabs>
          <w:tab w:val="num" w:pos="4320"/>
        </w:tabs>
        <w:ind w:left="4320" w:hanging="360"/>
      </w:pPr>
      <w:rPr>
        <w:rFonts w:ascii="Wingdings" w:hAnsi="Wingdings" w:hint="default"/>
      </w:rPr>
    </w:lvl>
    <w:lvl w:ilvl="6" w:tplc="C732476E" w:tentative="1">
      <w:start w:val="1"/>
      <w:numFmt w:val="bullet"/>
      <w:lvlText w:val=""/>
      <w:lvlJc w:val="left"/>
      <w:pPr>
        <w:tabs>
          <w:tab w:val="num" w:pos="5040"/>
        </w:tabs>
        <w:ind w:left="5040" w:hanging="360"/>
      </w:pPr>
      <w:rPr>
        <w:rFonts w:ascii="Wingdings" w:hAnsi="Wingdings" w:hint="default"/>
      </w:rPr>
    </w:lvl>
    <w:lvl w:ilvl="7" w:tplc="A6684CD2" w:tentative="1">
      <w:start w:val="1"/>
      <w:numFmt w:val="bullet"/>
      <w:lvlText w:val=""/>
      <w:lvlJc w:val="left"/>
      <w:pPr>
        <w:tabs>
          <w:tab w:val="num" w:pos="5760"/>
        </w:tabs>
        <w:ind w:left="5760" w:hanging="360"/>
      </w:pPr>
      <w:rPr>
        <w:rFonts w:ascii="Wingdings" w:hAnsi="Wingdings" w:hint="default"/>
      </w:rPr>
    </w:lvl>
    <w:lvl w:ilvl="8" w:tplc="A0AC641E"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2"/>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2"/>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53F"/>
    <w:rsid w:val="000F7CA8"/>
    <w:rsid w:val="0011239B"/>
    <w:rsid w:val="0023669E"/>
    <w:rsid w:val="00286CBD"/>
    <w:rsid w:val="002B74A5"/>
    <w:rsid w:val="003B7C97"/>
    <w:rsid w:val="003C194F"/>
    <w:rsid w:val="004846C7"/>
    <w:rsid w:val="004F6646"/>
    <w:rsid w:val="005815F9"/>
    <w:rsid w:val="005B7E59"/>
    <w:rsid w:val="006160FE"/>
    <w:rsid w:val="006C0C46"/>
    <w:rsid w:val="00745367"/>
    <w:rsid w:val="007A77AC"/>
    <w:rsid w:val="009F54ED"/>
    <w:rsid w:val="00A13265"/>
    <w:rsid w:val="00AB7AB3"/>
    <w:rsid w:val="00AD4848"/>
    <w:rsid w:val="00B2493B"/>
    <w:rsid w:val="00BF338E"/>
    <w:rsid w:val="00BF60E0"/>
    <w:rsid w:val="00D82A15"/>
    <w:rsid w:val="00E0052C"/>
    <w:rsid w:val="00E5753F"/>
    <w:rsid w:val="00EC64AB"/>
    <w:rsid w:val="00EF06A9"/>
    <w:rsid w:val="00EF1EA6"/>
    <w:rsid w:val="00FA7462"/>
    <w:rsid w:val="00FC29D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C7F9BB"/>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F54ED"/>
    <w:pPr>
      <w:spacing w:before="100" w:beforeAutospacing="1" w:after="100" w:afterAutospacing="1" w:line="360" w:lineRule="auto"/>
    </w:pPr>
    <w:rPr>
      <w:rFonts w:ascii="Helvetica" w:hAnsi="Helvetica"/>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5753F"/>
    <w:pPr>
      <w:tabs>
        <w:tab w:val="center" w:pos="4536"/>
        <w:tab w:val="right" w:pos="9072"/>
      </w:tabs>
    </w:pPr>
  </w:style>
  <w:style w:type="character" w:customStyle="1" w:styleId="KopfzeileZchn">
    <w:name w:val="Kopfzeile Zchn"/>
    <w:basedOn w:val="Absatz-Standardschriftart"/>
    <w:link w:val="Kopfzeile"/>
    <w:uiPriority w:val="99"/>
    <w:rsid w:val="00E5753F"/>
  </w:style>
  <w:style w:type="paragraph" w:styleId="Fuzeile">
    <w:name w:val="footer"/>
    <w:basedOn w:val="Standard"/>
    <w:link w:val="FuzeileZchn"/>
    <w:uiPriority w:val="99"/>
    <w:unhideWhenUsed/>
    <w:rsid w:val="00E5753F"/>
    <w:pPr>
      <w:tabs>
        <w:tab w:val="center" w:pos="4536"/>
        <w:tab w:val="right" w:pos="9072"/>
      </w:tabs>
    </w:pPr>
  </w:style>
  <w:style w:type="character" w:customStyle="1" w:styleId="FuzeileZchn">
    <w:name w:val="Fußzeile Zchn"/>
    <w:basedOn w:val="Absatz-Standardschriftart"/>
    <w:link w:val="Fuzeile"/>
    <w:uiPriority w:val="99"/>
    <w:rsid w:val="00E5753F"/>
  </w:style>
  <w:style w:type="character" w:styleId="Seitenzahl">
    <w:name w:val="page number"/>
    <w:basedOn w:val="Absatz-Standardschriftart"/>
    <w:uiPriority w:val="99"/>
    <w:semiHidden/>
    <w:unhideWhenUsed/>
    <w:rsid w:val="00E5753F"/>
  </w:style>
  <w:style w:type="paragraph" w:styleId="Listenabsatz">
    <w:name w:val="List Paragraph"/>
    <w:basedOn w:val="Standard"/>
    <w:uiPriority w:val="34"/>
    <w:qFormat/>
    <w:rsid w:val="00E5753F"/>
    <w:pPr>
      <w:ind w:left="720"/>
      <w:contextualSpacing/>
    </w:pPr>
  </w:style>
  <w:style w:type="character" w:styleId="Link">
    <w:name w:val="Hyperlink"/>
    <w:basedOn w:val="Absatz-Standardschriftart"/>
    <w:uiPriority w:val="99"/>
    <w:unhideWhenUsed/>
    <w:rsid w:val="00E5753F"/>
    <w:rPr>
      <w:color w:val="0563C1" w:themeColor="hyperlink"/>
      <w:u w:val="single"/>
    </w:rPr>
  </w:style>
  <w:style w:type="character" w:styleId="BesuchterLink">
    <w:name w:val="FollowedHyperlink"/>
    <w:basedOn w:val="Absatz-Standardschriftart"/>
    <w:uiPriority w:val="99"/>
    <w:semiHidden/>
    <w:unhideWhenUsed/>
    <w:rsid w:val="00AD48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032060">
      <w:bodyDiv w:val="1"/>
      <w:marLeft w:val="0"/>
      <w:marRight w:val="0"/>
      <w:marTop w:val="0"/>
      <w:marBottom w:val="0"/>
      <w:divBdr>
        <w:top w:val="none" w:sz="0" w:space="0" w:color="auto"/>
        <w:left w:val="none" w:sz="0" w:space="0" w:color="auto"/>
        <w:bottom w:val="none" w:sz="0" w:space="0" w:color="auto"/>
        <w:right w:val="none" w:sz="0" w:space="0" w:color="auto"/>
      </w:divBdr>
    </w:div>
    <w:div w:id="981160089">
      <w:bodyDiv w:val="1"/>
      <w:marLeft w:val="0"/>
      <w:marRight w:val="0"/>
      <w:marTop w:val="0"/>
      <w:marBottom w:val="0"/>
      <w:divBdr>
        <w:top w:val="none" w:sz="0" w:space="0" w:color="auto"/>
        <w:left w:val="none" w:sz="0" w:space="0" w:color="auto"/>
        <w:bottom w:val="none" w:sz="0" w:space="0" w:color="auto"/>
        <w:right w:val="none" w:sz="0" w:space="0" w:color="auto"/>
      </w:divBdr>
    </w:div>
    <w:div w:id="1115178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Arne.Peters@dnvgl.com" TargetMode="External"/><Relationship Id="rId8" Type="http://schemas.openxmlformats.org/officeDocument/2006/relationships/hyperlink" Target="x-webdoc://295978F2-1D9C-41EF-9CEE-3283255CAA71/Christian.Volkmann@btc-ag.com" TargetMode="External"/><Relationship Id="rId9" Type="http://schemas.openxmlformats.org/officeDocument/2006/relationships/hyperlink" Target="x-webdoc://295978F2-1D9C-41EF-9CEE-3283255CAA71/www.btc-ag.com" TargetMode="External"/><Relationship Id="rId10" Type="http://schemas.openxmlformats.org/officeDocument/2006/relationships/hyperlink" Target="mailto:tmarcinkiewicz@ivugmb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1162</Words>
  <Characters>7326</Characters>
  <Application>Microsoft Macintosh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3</cp:revision>
  <cp:lastPrinted>2016-01-21T10:05:00Z</cp:lastPrinted>
  <dcterms:created xsi:type="dcterms:W3CDTF">2016-01-21T09:47:00Z</dcterms:created>
  <dcterms:modified xsi:type="dcterms:W3CDTF">2016-01-21T12:25:00Z</dcterms:modified>
</cp:coreProperties>
</file>