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001" w:rsidRPr="005E529B"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p>
    <w:p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355358">
        <w:rPr>
          <w:rFonts w:cs="Helvetica"/>
          <w:sz w:val="20"/>
        </w:rPr>
        <w:t>2</w:t>
      </w:r>
      <w:r w:rsidR="00A53AFB">
        <w:rPr>
          <w:rFonts w:cs="Helvetica"/>
          <w:sz w:val="20"/>
        </w:rPr>
        <w:t>9</w:t>
      </w:r>
      <w:bookmarkStart w:id="0" w:name="_GoBack"/>
      <w:bookmarkEnd w:id="0"/>
      <w:r>
        <w:rPr>
          <w:rFonts w:cs="Helvetica"/>
          <w:sz w:val="20"/>
        </w:rPr>
        <w:t xml:space="preserve">. November </w:t>
      </w:r>
      <w:r w:rsidRPr="005E529B">
        <w:rPr>
          <w:rFonts w:cs="Helvetica"/>
          <w:sz w:val="20"/>
        </w:rPr>
        <w:t>20</w:t>
      </w:r>
      <w:r>
        <w:rPr>
          <w:rFonts w:cs="Helvetica"/>
          <w:sz w:val="20"/>
        </w:rPr>
        <w:t>12</w:t>
      </w:r>
    </w:p>
    <w:p w:rsidR="002B3001" w:rsidRPr="005E529B" w:rsidRDefault="002B3001" w:rsidP="002B3001">
      <w:pPr>
        <w:widowControl w:val="0"/>
        <w:tabs>
          <w:tab w:val="left" w:pos="2166"/>
        </w:tabs>
        <w:autoSpaceDE w:val="0"/>
        <w:autoSpaceDN w:val="0"/>
        <w:adjustRightInd w:val="0"/>
        <w:spacing w:after="0" w:line="288" w:lineRule="auto"/>
        <w:rPr>
          <w:rFonts w:cs="Helvetica"/>
          <w:szCs w:val="22"/>
        </w:rPr>
      </w:pPr>
    </w:p>
    <w:p w:rsidR="002B3001" w:rsidRDefault="002B3001" w:rsidP="002B3001">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Gateway-Diskussion: Administrieren statt betreiben</w:t>
      </w:r>
    </w:p>
    <w:p w:rsidR="002B3001" w:rsidRPr="005E529B" w:rsidRDefault="002B3001" w:rsidP="002B3001">
      <w:pPr>
        <w:widowControl w:val="0"/>
        <w:tabs>
          <w:tab w:val="center" w:pos="4536"/>
          <w:tab w:val="right" w:pos="8789"/>
        </w:tabs>
        <w:autoSpaceDE w:val="0"/>
        <w:autoSpaceDN w:val="0"/>
        <w:adjustRightInd w:val="0"/>
        <w:spacing w:after="0" w:line="288" w:lineRule="auto"/>
        <w:ind w:right="-1842"/>
        <w:rPr>
          <w:rFonts w:cs="Helvetica"/>
          <w:b/>
          <w:bCs/>
          <w:szCs w:val="22"/>
        </w:rPr>
      </w:pPr>
      <w:r>
        <w:rPr>
          <w:rFonts w:cs="Helvetica"/>
          <w:b/>
          <w:bCs/>
          <w:szCs w:val="22"/>
        </w:rPr>
        <w:t>EDNA-Vorschlag für den Erhalt der Marktdynamik</w:t>
      </w:r>
      <w:r>
        <w:rPr>
          <w:rFonts w:cs="Helvetica"/>
          <w:b/>
          <w:bCs/>
          <w:szCs w:val="22"/>
        </w:rPr>
        <w:tab/>
      </w:r>
    </w:p>
    <w:p w:rsidR="002B3001" w:rsidRPr="00556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r>
        <w:rPr>
          <w:rFonts w:cs="Helvetica"/>
          <w:b/>
          <w:bCs/>
          <w:sz w:val="20"/>
        </w:rPr>
        <w:t xml:space="preserve">In der aktuellen Diskussion um die </w:t>
      </w:r>
      <w:r w:rsidRPr="0094402D">
        <w:rPr>
          <w:rFonts w:cs="Helvetica"/>
          <w:b/>
          <w:bCs/>
          <w:sz w:val="20"/>
        </w:rPr>
        <w:t>Messzugangsverordnung</w:t>
      </w:r>
      <w:r>
        <w:rPr>
          <w:rFonts w:cs="Helvetica"/>
          <w:b/>
          <w:bCs/>
          <w:sz w:val="20"/>
        </w:rPr>
        <w:t xml:space="preserve"> (MessZV) nach § 21 EnWG und die neue Rolle des Gateway-Betreibers empfiehlt der EDNA Bundesverband Energiemarkt &amp; Kommunikation e.V., sich auf die Funktion eines neutralen „Gateway-Administrators“ (GWA) zu beschränken. In einer Stellungnahme an das Bundesminist</w:t>
      </w:r>
      <w:r>
        <w:rPr>
          <w:rFonts w:cs="Helvetica"/>
          <w:b/>
          <w:bCs/>
          <w:sz w:val="20"/>
        </w:rPr>
        <w:t>e</w:t>
      </w:r>
      <w:r>
        <w:rPr>
          <w:rFonts w:cs="Helvetica"/>
          <w:b/>
          <w:bCs/>
          <w:sz w:val="20"/>
        </w:rPr>
        <w:t>rium für Wirtschaft und Techn</w:t>
      </w:r>
      <w:r>
        <w:rPr>
          <w:rFonts w:cs="Helvetica"/>
          <w:b/>
          <w:bCs/>
          <w:sz w:val="20"/>
        </w:rPr>
        <w:t>o</w:t>
      </w:r>
      <w:r>
        <w:rPr>
          <w:rFonts w:cs="Helvetica"/>
          <w:b/>
          <w:bCs/>
          <w:sz w:val="20"/>
        </w:rPr>
        <w:t>logie betont EDNA, dass es bei dieser neuen Rolle in erster Linie um die Garantie eines sicheren Datenau</w:t>
      </w:r>
      <w:r>
        <w:rPr>
          <w:rFonts w:cs="Helvetica"/>
          <w:b/>
          <w:bCs/>
          <w:sz w:val="20"/>
        </w:rPr>
        <w:t>s</w:t>
      </w:r>
      <w:r>
        <w:rPr>
          <w:rFonts w:cs="Helvetica"/>
          <w:b/>
          <w:bCs/>
          <w:sz w:val="20"/>
        </w:rPr>
        <w:t>tauschs über das Gateway gehe, der durch eine entsprechende Verschlüss</w:t>
      </w:r>
      <w:r>
        <w:rPr>
          <w:rFonts w:cs="Helvetica"/>
          <w:b/>
          <w:bCs/>
          <w:sz w:val="20"/>
        </w:rPr>
        <w:t>e</w:t>
      </w:r>
      <w:r>
        <w:rPr>
          <w:rFonts w:cs="Helvetica"/>
          <w:b/>
          <w:bCs/>
          <w:sz w:val="20"/>
        </w:rPr>
        <w:t>lung e</w:t>
      </w:r>
      <w:r>
        <w:rPr>
          <w:rFonts w:cs="Helvetica"/>
          <w:b/>
          <w:bCs/>
          <w:sz w:val="20"/>
        </w:rPr>
        <w:t>r</w:t>
      </w:r>
      <w:r>
        <w:rPr>
          <w:rFonts w:cs="Helvetica"/>
          <w:b/>
          <w:bCs/>
          <w:sz w:val="20"/>
        </w:rPr>
        <w:t>reicht wird. Das Gerät selbst könne beispielsweise durch den Messstellenbetreiber installiert werden. „Es ist wirtschaftlich nicht darstellbar, dass beim Kunden vor Ort zwei Techniker für die Installat</w:t>
      </w:r>
      <w:r>
        <w:rPr>
          <w:rFonts w:cs="Helvetica"/>
          <w:b/>
          <w:bCs/>
          <w:sz w:val="20"/>
        </w:rPr>
        <w:t>i</w:t>
      </w:r>
      <w:r>
        <w:rPr>
          <w:rFonts w:cs="Helvetica"/>
          <w:b/>
          <w:bCs/>
          <w:sz w:val="20"/>
        </w:rPr>
        <w:t>on eines elektronischen Zählers und des Gateways erscheinen mü</w:t>
      </w:r>
      <w:r>
        <w:rPr>
          <w:rFonts w:cs="Helvetica"/>
          <w:b/>
          <w:bCs/>
          <w:sz w:val="20"/>
        </w:rPr>
        <w:t>s</w:t>
      </w:r>
      <w:r>
        <w:rPr>
          <w:rFonts w:cs="Helvetica"/>
          <w:b/>
          <w:bCs/>
          <w:sz w:val="20"/>
        </w:rPr>
        <w:t>sen, nur weil es für diese Komponenten zwei separate Mar</w:t>
      </w:r>
      <w:r>
        <w:rPr>
          <w:rFonts w:cs="Helvetica"/>
          <w:b/>
          <w:bCs/>
          <w:sz w:val="20"/>
        </w:rPr>
        <w:t>k</w:t>
      </w:r>
      <w:r>
        <w:rPr>
          <w:rFonts w:cs="Helvetica"/>
          <w:b/>
          <w:bCs/>
          <w:sz w:val="20"/>
        </w:rPr>
        <w:t>trollen gibt. Die Übertragung der Schlüsselinformationen auf das Gateway kann jede</w:t>
      </w:r>
      <w:r>
        <w:rPr>
          <w:rFonts w:cs="Helvetica"/>
          <w:b/>
          <w:bCs/>
          <w:sz w:val="20"/>
        </w:rPr>
        <w:t>r</w:t>
      </w:r>
      <w:r>
        <w:rPr>
          <w:rFonts w:cs="Helvetica"/>
          <w:b/>
          <w:bCs/>
          <w:sz w:val="20"/>
        </w:rPr>
        <w:t>zeit auch elektronisch und durch eine neutrale Instanz erfolgen“, begründet Heinrich Lang vom ifed Institut als Vorsi</w:t>
      </w:r>
      <w:r>
        <w:rPr>
          <w:rFonts w:cs="Helvetica"/>
          <w:b/>
          <w:bCs/>
          <w:sz w:val="20"/>
        </w:rPr>
        <w:t>t</w:t>
      </w:r>
      <w:r>
        <w:rPr>
          <w:rFonts w:cs="Helvetica"/>
          <w:b/>
          <w:bCs/>
          <w:sz w:val="20"/>
        </w:rPr>
        <w:t>zender der EDNA-Projektgruppe „WiM“ den Ansatz. Auf diese Weise könne auch die Zahl der GWA begrenzt werden – etwa auf einen je Regelzone. Die Ro</w:t>
      </w:r>
      <w:r>
        <w:rPr>
          <w:rFonts w:cs="Helvetica"/>
          <w:b/>
          <w:bCs/>
          <w:sz w:val="20"/>
        </w:rPr>
        <w:t>l</w:t>
      </w:r>
      <w:r>
        <w:rPr>
          <w:rFonts w:cs="Helvetica"/>
          <w:b/>
          <w:bCs/>
          <w:sz w:val="20"/>
        </w:rPr>
        <w:t>le des GWA kann dabei unabhängig vom Übertragungsnetzbetreiber sowohl von einem Unternehmen als auch von einer Behörde übe</w:t>
      </w:r>
      <w:r>
        <w:rPr>
          <w:rFonts w:cs="Helvetica"/>
          <w:b/>
          <w:bCs/>
          <w:sz w:val="20"/>
        </w:rPr>
        <w:t>r</w:t>
      </w:r>
      <w:r>
        <w:rPr>
          <w:rFonts w:cs="Helvetica"/>
          <w:b/>
          <w:bCs/>
          <w:sz w:val="20"/>
        </w:rPr>
        <w:t>nommen werden.</w:t>
      </w:r>
    </w:p>
    <w:p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rsidR="002B3001" w:rsidRPr="00057D88"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r w:rsidRPr="00057D88">
        <w:rPr>
          <w:rFonts w:cs="Helvetica"/>
          <w:bCs/>
          <w:sz w:val="20"/>
        </w:rPr>
        <w:t xml:space="preserve">Sollte eine Trennung zwischen </w:t>
      </w:r>
      <w:r>
        <w:rPr>
          <w:rFonts w:cs="Helvetica"/>
          <w:bCs/>
          <w:sz w:val="20"/>
        </w:rPr>
        <w:t xml:space="preserve">dem eigentlichen </w:t>
      </w:r>
      <w:r w:rsidRPr="00057D88">
        <w:rPr>
          <w:rFonts w:cs="Helvetica"/>
          <w:bCs/>
          <w:sz w:val="20"/>
        </w:rPr>
        <w:t xml:space="preserve">Gateway-Betrieb und </w:t>
      </w:r>
      <w:r>
        <w:rPr>
          <w:rFonts w:cs="Helvetica"/>
          <w:bCs/>
          <w:sz w:val="20"/>
        </w:rPr>
        <w:t xml:space="preserve">der neutralen Funktion des </w:t>
      </w:r>
      <w:r w:rsidRPr="00057D88">
        <w:rPr>
          <w:rFonts w:cs="Helvetica"/>
          <w:bCs/>
          <w:sz w:val="20"/>
        </w:rPr>
        <w:t xml:space="preserve">GWA nicht </w:t>
      </w:r>
      <w:r>
        <w:rPr>
          <w:rFonts w:cs="Helvetica"/>
          <w:bCs/>
          <w:sz w:val="20"/>
        </w:rPr>
        <w:t>erfolgen</w:t>
      </w:r>
      <w:r w:rsidRPr="00057D88">
        <w:rPr>
          <w:rFonts w:cs="Helvetica"/>
          <w:bCs/>
          <w:sz w:val="20"/>
        </w:rPr>
        <w:t>, sieht EDNA die große Gefahr, dass wegen unter</w:t>
      </w:r>
      <w:r w:rsidRPr="00057D88">
        <w:rPr>
          <w:rFonts w:cs="Helvetica"/>
          <w:bCs/>
          <w:sz w:val="20"/>
        </w:rPr>
        <w:softHyphen/>
        <w:t xml:space="preserve">schiedlicher Interessenslagen </w:t>
      </w:r>
      <w:r>
        <w:rPr>
          <w:rFonts w:cs="Helvetica"/>
          <w:bCs/>
          <w:sz w:val="20"/>
        </w:rPr>
        <w:t>von</w:t>
      </w:r>
      <w:r w:rsidRPr="00057D88">
        <w:rPr>
          <w:rFonts w:cs="Helvetica"/>
          <w:bCs/>
          <w:sz w:val="20"/>
        </w:rPr>
        <w:t xml:space="preserve"> Gateway-Betrieb, Messstellenbetrieb und Gateway-Administration die Marktentwicklung g</w:t>
      </w:r>
      <w:r w:rsidRPr="00057D88">
        <w:rPr>
          <w:rFonts w:cs="Helvetica"/>
          <w:bCs/>
          <w:sz w:val="20"/>
        </w:rPr>
        <w:t>e</w:t>
      </w:r>
      <w:r w:rsidRPr="00057D88">
        <w:rPr>
          <w:rFonts w:cs="Helvetica"/>
          <w:bCs/>
          <w:sz w:val="20"/>
        </w:rPr>
        <w:t xml:space="preserve">stört wird. </w:t>
      </w:r>
      <w:r>
        <w:rPr>
          <w:rFonts w:cs="Helvetica"/>
          <w:bCs/>
          <w:sz w:val="20"/>
        </w:rPr>
        <w:t>So</w:t>
      </w:r>
      <w:r w:rsidRPr="00057D88">
        <w:rPr>
          <w:rFonts w:cs="Helvetica"/>
          <w:bCs/>
          <w:sz w:val="20"/>
        </w:rPr>
        <w:t xml:space="preserve"> könnte es passi</w:t>
      </w:r>
      <w:r w:rsidRPr="00057D88">
        <w:rPr>
          <w:rFonts w:cs="Helvetica"/>
          <w:bCs/>
          <w:sz w:val="20"/>
        </w:rPr>
        <w:t>e</w:t>
      </w:r>
      <w:r w:rsidRPr="00057D88">
        <w:rPr>
          <w:rFonts w:cs="Helvetica"/>
          <w:bCs/>
          <w:sz w:val="20"/>
        </w:rPr>
        <w:t>ren, dass der GWA ein Monopol für Zusa</w:t>
      </w:r>
      <w:r>
        <w:rPr>
          <w:rFonts w:cs="Helvetica"/>
          <w:bCs/>
          <w:sz w:val="20"/>
        </w:rPr>
        <w:t>tz</w:t>
      </w:r>
      <w:r>
        <w:rPr>
          <w:rFonts w:cs="Helvetica"/>
          <w:bCs/>
          <w:sz w:val="20"/>
        </w:rPr>
        <w:softHyphen/>
        <w:t>dienst</w:t>
      </w:r>
      <w:r>
        <w:rPr>
          <w:rFonts w:cs="Helvetica"/>
          <w:bCs/>
          <w:sz w:val="20"/>
        </w:rPr>
        <w:softHyphen/>
        <w:t>leistungen aufbaut und dadurch</w:t>
      </w:r>
      <w:r w:rsidRPr="00057D88">
        <w:rPr>
          <w:rFonts w:cs="Helvetica"/>
          <w:bCs/>
          <w:sz w:val="20"/>
        </w:rPr>
        <w:t xml:space="preserve"> die Basis für innovative Geschäfts</w:t>
      </w:r>
      <w:r w:rsidRPr="00057D88">
        <w:rPr>
          <w:rFonts w:cs="Helvetica"/>
          <w:bCs/>
          <w:sz w:val="20"/>
        </w:rPr>
        <w:softHyphen/>
        <w:t>modelle der Messstellenb</w:t>
      </w:r>
      <w:r w:rsidRPr="00057D88">
        <w:rPr>
          <w:rFonts w:cs="Helvetica"/>
          <w:bCs/>
          <w:sz w:val="20"/>
        </w:rPr>
        <w:t>e</w:t>
      </w:r>
      <w:r w:rsidRPr="00057D88">
        <w:rPr>
          <w:rFonts w:cs="Helvetica"/>
          <w:bCs/>
          <w:sz w:val="20"/>
        </w:rPr>
        <w:t>treiber zerstör</w:t>
      </w:r>
      <w:r>
        <w:rPr>
          <w:rFonts w:cs="Helvetica"/>
          <w:bCs/>
          <w:sz w:val="20"/>
        </w:rPr>
        <w:t>t</w:t>
      </w:r>
      <w:r w:rsidRPr="00057D88">
        <w:rPr>
          <w:rFonts w:cs="Helvetica"/>
          <w:bCs/>
          <w:sz w:val="20"/>
        </w:rPr>
        <w:t>. Um die Akzeptanz beim Kunden zu f</w:t>
      </w:r>
      <w:r>
        <w:rPr>
          <w:rFonts w:cs="Helvetica"/>
          <w:bCs/>
          <w:sz w:val="20"/>
        </w:rPr>
        <w:t>ö</w:t>
      </w:r>
      <w:r w:rsidRPr="00057D88">
        <w:rPr>
          <w:rFonts w:cs="Helvetica"/>
          <w:bCs/>
          <w:sz w:val="20"/>
        </w:rPr>
        <w:t xml:space="preserve">rdern, sollte </w:t>
      </w:r>
      <w:r>
        <w:rPr>
          <w:rFonts w:cs="Helvetica"/>
          <w:bCs/>
          <w:sz w:val="20"/>
        </w:rPr>
        <w:t xml:space="preserve">es </w:t>
      </w:r>
      <w:r w:rsidRPr="00057D88">
        <w:rPr>
          <w:rFonts w:cs="Helvetica"/>
          <w:bCs/>
          <w:sz w:val="20"/>
        </w:rPr>
        <w:t>nur einen Verantwortlichen für die Funktion der Mes</w:t>
      </w:r>
      <w:r w:rsidRPr="00057D88">
        <w:rPr>
          <w:rFonts w:cs="Helvetica"/>
          <w:bCs/>
          <w:sz w:val="20"/>
        </w:rPr>
        <w:t>s</w:t>
      </w:r>
      <w:r w:rsidRPr="00057D88">
        <w:rPr>
          <w:rFonts w:cs="Helvetica"/>
          <w:bCs/>
          <w:sz w:val="20"/>
        </w:rPr>
        <w:t>einrichtung inkl</w:t>
      </w:r>
      <w:r>
        <w:rPr>
          <w:rFonts w:cs="Helvetica"/>
          <w:bCs/>
          <w:sz w:val="20"/>
        </w:rPr>
        <w:t>usive</w:t>
      </w:r>
      <w:r w:rsidRPr="00057D88">
        <w:rPr>
          <w:rFonts w:cs="Helvetica"/>
          <w:bCs/>
          <w:sz w:val="20"/>
        </w:rPr>
        <w:t xml:space="preserve"> der Datenübertragung geben. Dies wäre nach Ansicht von EDNA der Messstellenb</w:t>
      </w:r>
      <w:r w:rsidRPr="00057D88">
        <w:rPr>
          <w:rFonts w:cs="Helvetica"/>
          <w:bCs/>
          <w:sz w:val="20"/>
        </w:rPr>
        <w:t>e</w:t>
      </w:r>
      <w:r w:rsidRPr="00057D88">
        <w:rPr>
          <w:rFonts w:cs="Helvetica"/>
          <w:bCs/>
          <w:sz w:val="20"/>
        </w:rPr>
        <w:t>treiber.</w:t>
      </w:r>
    </w:p>
    <w:p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r>
        <w:rPr>
          <w:rFonts w:cs="Helvetica"/>
          <w:bCs/>
          <w:sz w:val="20"/>
        </w:rPr>
        <w:t>„</w:t>
      </w:r>
      <w:r w:rsidRPr="00057D88">
        <w:rPr>
          <w:rFonts w:cs="Helvetica"/>
          <w:bCs/>
          <w:sz w:val="20"/>
        </w:rPr>
        <w:t xml:space="preserve">In der aktuellen Marktkommunikation hat sich </w:t>
      </w:r>
      <w:r>
        <w:rPr>
          <w:rFonts w:cs="Helvetica"/>
          <w:bCs/>
          <w:sz w:val="20"/>
        </w:rPr>
        <w:t>bei</w:t>
      </w:r>
      <w:r w:rsidRPr="00057D88">
        <w:rPr>
          <w:rFonts w:cs="Helvetica"/>
          <w:bCs/>
          <w:sz w:val="20"/>
        </w:rPr>
        <w:t xml:space="preserve"> der Zusammenarbeit zw</w:t>
      </w:r>
      <w:r w:rsidRPr="00057D88">
        <w:rPr>
          <w:rFonts w:cs="Helvetica"/>
          <w:bCs/>
          <w:sz w:val="20"/>
        </w:rPr>
        <w:t>i</w:t>
      </w:r>
      <w:r w:rsidRPr="00057D88">
        <w:rPr>
          <w:rFonts w:cs="Helvetica"/>
          <w:bCs/>
          <w:sz w:val="20"/>
        </w:rPr>
        <w:t>schen ÜNB, BIKO, VNB und Lieferant das Prinzip bewährt, das</w:t>
      </w:r>
      <w:r>
        <w:rPr>
          <w:rFonts w:cs="Helvetica"/>
          <w:bCs/>
          <w:sz w:val="20"/>
        </w:rPr>
        <w:t>s</w:t>
      </w:r>
      <w:r w:rsidRPr="00057D88">
        <w:rPr>
          <w:rFonts w:cs="Helvetica"/>
          <w:bCs/>
          <w:sz w:val="20"/>
        </w:rPr>
        <w:t xml:space="preserve"> ein Mark</w:t>
      </w:r>
      <w:r w:rsidRPr="00057D88">
        <w:rPr>
          <w:rFonts w:cs="Helvetica"/>
          <w:bCs/>
          <w:sz w:val="20"/>
        </w:rPr>
        <w:t>t</w:t>
      </w:r>
      <w:r w:rsidRPr="00057D88">
        <w:rPr>
          <w:rFonts w:cs="Helvetica"/>
          <w:bCs/>
          <w:sz w:val="20"/>
        </w:rPr>
        <w:t>rolleninhaber die Datenhoheit hat</w:t>
      </w:r>
      <w:r>
        <w:rPr>
          <w:rFonts w:cs="Helvetica"/>
          <w:bCs/>
          <w:sz w:val="20"/>
        </w:rPr>
        <w:t xml:space="preserve"> –</w:t>
      </w:r>
      <w:r w:rsidRPr="00057D88">
        <w:rPr>
          <w:rFonts w:cs="Helvetica"/>
          <w:bCs/>
          <w:sz w:val="20"/>
        </w:rPr>
        <w:t xml:space="preserve"> insbesondere im Blick auf Plausibilisi</w:t>
      </w:r>
      <w:r w:rsidRPr="00057D88">
        <w:rPr>
          <w:rFonts w:cs="Helvetica"/>
          <w:bCs/>
          <w:sz w:val="20"/>
        </w:rPr>
        <w:t>e</w:t>
      </w:r>
      <w:r w:rsidRPr="00057D88">
        <w:rPr>
          <w:rFonts w:cs="Helvetica"/>
          <w:bCs/>
          <w:sz w:val="20"/>
        </w:rPr>
        <w:lastRenderedPageBreak/>
        <w:t>rung und Ersatz</w:t>
      </w:r>
      <w:r w:rsidRPr="00057D88">
        <w:rPr>
          <w:rFonts w:cs="Helvetica"/>
          <w:bCs/>
          <w:sz w:val="20"/>
        </w:rPr>
        <w:softHyphen/>
        <w:t>wert</w:t>
      </w:r>
      <w:r w:rsidRPr="00057D88">
        <w:rPr>
          <w:rFonts w:cs="Helvetica"/>
          <w:bCs/>
          <w:sz w:val="20"/>
        </w:rPr>
        <w:softHyphen/>
        <w:t>bildung. Dies sollte für die Netz</w:t>
      </w:r>
      <w:r w:rsidRPr="00057D88">
        <w:rPr>
          <w:rFonts w:cs="Helvetica"/>
          <w:bCs/>
          <w:sz w:val="20"/>
        </w:rPr>
        <w:softHyphen/>
        <w:t>nutzungs</w:t>
      </w:r>
      <w:r w:rsidRPr="00057D88">
        <w:rPr>
          <w:rFonts w:cs="Helvetica"/>
          <w:bCs/>
          <w:sz w:val="20"/>
        </w:rPr>
        <w:softHyphen/>
        <w:t xml:space="preserve">abrechnung auch </w:t>
      </w:r>
      <w:r>
        <w:rPr>
          <w:rFonts w:cs="Helvetica"/>
          <w:bCs/>
          <w:sz w:val="20"/>
        </w:rPr>
        <w:t>in</w:t>
      </w:r>
      <w:r w:rsidRPr="00057D88">
        <w:rPr>
          <w:rFonts w:cs="Helvetica"/>
          <w:bCs/>
          <w:sz w:val="20"/>
        </w:rPr>
        <w:t xml:space="preserve"> Zukunft erhalten bleiben</w:t>
      </w:r>
      <w:r>
        <w:rPr>
          <w:rFonts w:cs="Helvetica"/>
          <w:bCs/>
          <w:sz w:val="20"/>
        </w:rPr>
        <w:t>“, führt Heinrich Lang weiter aus</w:t>
      </w:r>
      <w:r w:rsidRPr="00057D88">
        <w:rPr>
          <w:rFonts w:cs="Helvetica"/>
          <w:bCs/>
          <w:sz w:val="20"/>
        </w:rPr>
        <w:t>. Für die A</w:t>
      </w:r>
      <w:r w:rsidRPr="00057D88">
        <w:rPr>
          <w:rFonts w:cs="Helvetica"/>
          <w:bCs/>
          <w:sz w:val="20"/>
        </w:rPr>
        <w:t>b</w:t>
      </w:r>
      <w:r w:rsidRPr="00057D88">
        <w:rPr>
          <w:rFonts w:cs="Helvetica"/>
          <w:bCs/>
          <w:sz w:val="20"/>
        </w:rPr>
        <w:t xml:space="preserve">rechnung zwischen Lieferant und Kunden </w:t>
      </w:r>
      <w:r>
        <w:rPr>
          <w:rFonts w:cs="Helvetica"/>
          <w:bCs/>
          <w:sz w:val="20"/>
        </w:rPr>
        <w:t>sieht EDNA</w:t>
      </w:r>
      <w:r w:rsidRPr="00057D88">
        <w:rPr>
          <w:rFonts w:cs="Helvetica"/>
          <w:bCs/>
          <w:sz w:val="20"/>
        </w:rPr>
        <w:t xml:space="preserve"> künftig</w:t>
      </w:r>
      <w:r>
        <w:rPr>
          <w:rFonts w:cs="Helvetica"/>
          <w:bCs/>
          <w:sz w:val="20"/>
        </w:rPr>
        <w:t xml:space="preserve"> jedoch</w:t>
      </w:r>
      <w:r w:rsidRPr="00057D88">
        <w:rPr>
          <w:rFonts w:cs="Helvetica"/>
          <w:bCs/>
          <w:sz w:val="20"/>
        </w:rPr>
        <w:t xml:space="preserve"> eine neue Situation</w:t>
      </w:r>
      <w:r>
        <w:rPr>
          <w:rFonts w:cs="Helvetica"/>
          <w:bCs/>
          <w:sz w:val="20"/>
        </w:rPr>
        <w:t>, die</w:t>
      </w:r>
      <w:r w:rsidRPr="00057D88">
        <w:rPr>
          <w:rFonts w:cs="Helvetica"/>
          <w:bCs/>
          <w:sz w:val="20"/>
        </w:rPr>
        <w:t xml:space="preserve"> einen </w:t>
      </w:r>
      <w:r>
        <w:rPr>
          <w:rFonts w:cs="Helvetica"/>
          <w:bCs/>
          <w:sz w:val="20"/>
        </w:rPr>
        <w:t xml:space="preserve">unabhängigen </w:t>
      </w:r>
      <w:r w:rsidRPr="00057D88">
        <w:rPr>
          <w:rFonts w:cs="Helvetica"/>
          <w:bCs/>
          <w:sz w:val="20"/>
        </w:rPr>
        <w:t xml:space="preserve"> Zugriff der Marktrollen auf die D</w:t>
      </w:r>
      <w:r w:rsidRPr="00057D88">
        <w:rPr>
          <w:rFonts w:cs="Helvetica"/>
          <w:bCs/>
          <w:sz w:val="20"/>
        </w:rPr>
        <w:t>a</w:t>
      </w:r>
      <w:r w:rsidRPr="00057D88">
        <w:rPr>
          <w:rFonts w:cs="Helvetica"/>
          <w:bCs/>
          <w:sz w:val="20"/>
        </w:rPr>
        <w:t xml:space="preserve">ten des Gateways sinnvoll </w:t>
      </w:r>
      <w:r>
        <w:rPr>
          <w:rFonts w:cs="Helvetica"/>
          <w:bCs/>
          <w:sz w:val="20"/>
        </w:rPr>
        <w:t>macht</w:t>
      </w:r>
      <w:r w:rsidRPr="00057D88">
        <w:rPr>
          <w:rFonts w:cs="Helvetica"/>
          <w:bCs/>
          <w:sz w:val="20"/>
        </w:rPr>
        <w:t xml:space="preserve">. </w:t>
      </w:r>
      <w:r>
        <w:rPr>
          <w:rFonts w:cs="Helvetica"/>
          <w:bCs/>
          <w:sz w:val="20"/>
        </w:rPr>
        <w:t>Eine ausschließlich zentrale</w:t>
      </w:r>
      <w:r w:rsidRPr="00057D88">
        <w:rPr>
          <w:rFonts w:cs="Helvetica"/>
          <w:bCs/>
          <w:sz w:val="20"/>
        </w:rPr>
        <w:t xml:space="preserve"> Tarifierung durch den GWA</w:t>
      </w:r>
      <w:r>
        <w:rPr>
          <w:rFonts w:cs="Helvetica"/>
          <w:bCs/>
          <w:sz w:val="20"/>
        </w:rPr>
        <w:t>, wie aktuell vorgesehen, birgt die Gefahr</w:t>
      </w:r>
      <w:r w:rsidRPr="00057D88">
        <w:rPr>
          <w:rFonts w:cs="Helvetica"/>
          <w:bCs/>
          <w:sz w:val="20"/>
        </w:rPr>
        <w:t>, dass Tarifänd</w:t>
      </w:r>
      <w:r w:rsidRPr="00057D88">
        <w:rPr>
          <w:rFonts w:cs="Helvetica"/>
          <w:bCs/>
          <w:sz w:val="20"/>
        </w:rPr>
        <w:t>e</w:t>
      </w:r>
      <w:r w:rsidRPr="00057D88">
        <w:rPr>
          <w:rFonts w:cs="Helvetica"/>
          <w:bCs/>
          <w:sz w:val="20"/>
        </w:rPr>
        <w:t>rungen eines Lieferanten (</w:t>
      </w:r>
      <w:r>
        <w:rPr>
          <w:rFonts w:cs="Helvetica"/>
          <w:bCs/>
          <w:sz w:val="20"/>
        </w:rPr>
        <w:t xml:space="preserve">etwa </w:t>
      </w:r>
      <w:r w:rsidRPr="00057D88">
        <w:rPr>
          <w:rFonts w:cs="Helvetica"/>
          <w:bCs/>
          <w:sz w:val="20"/>
        </w:rPr>
        <w:t>auf</w:t>
      </w:r>
      <w:r>
        <w:rPr>
          <w:rFonts w:cs="Helvetica"/>
          <w:bCs/>
          <w:sz w:val="20"/>
        </w:rPr>
        <w:t>g</w:t>
      </w:r>
      <w:r w:rsidRPr="00057D88">
        <w:rPr>
          <w:rFonts w:cs="Helvetica"/>
          <w:bCs/>
          <w:sz w:val="20"/>
        </w:rPr>
        <w:t xml:space="preserve">rund </w:t>
      </w:r>
      <w:r>
        <w:rPr>
          <w:rFonts w:cs="Helvetica"/>
          <w:bCs/>
          <w:sz w:val="20"/>
        </w:rPr>
        <w:t xml:space="preserve">des </w:t>
      </w:r>
      <w:r w:rsidRPr="00057D88">
        <w:rPr>
          <w:rFonts w:cs="Helvetica"/>
          <w:bCs/>
          <w:sz w:val="20"/>
        </w:rPr>
        <w:t>aktuellen Marktg</w:t>
      </w:r>
      <w:r w:rsidRPr="00057D88">
        <w:rPr>
          <w:rFonts w:cs="Helvetica"/>
          <w:bCs/>
          <w:sz w:val="20"/>
        </w:rPr>
        <w:t>e</w:t>
      </w:r>
      <w:r w:rsidRPr="00057D88">
        <w:rPr>
          <w:rFonts w:cs="Helvetica"/>
          <w:bCs/>
          <w:sz w:val="20"/>
        </w:rPr>
        <w:t xml:space="preserve">schehens) </w:t>
      </w:r>
      <w:r>
        <w:rPr>
          <w:rFonts w:cs="Helvetica"/>
          <w:bCs/>
          <w:sz w:val="20"/>
        </w:rPr>
        <w:t>im</w:t>
      </w:r>
      <w:r w:rsidRPr="00057D88">
        <w:rPr>
          <w:rFonts w:cs="Helvetica"/>
          <w:bCs/>
          <w:sz w:val="20"/>
        </w:rPr>
        <w:t xml:space="preserve"> Flaschenhals GWA stecken bleiben. </w:t>
      </w:r>
      <w:r>
        <w:rPr>
          <w:rFonts w:cs="Helvetica"/>
          <w:bCs/>
          <w:sz w:val="20"/>
        </w:rPr>
        <w:t>Gerade eine dynamische Tarifierung ist jedoch ein wichtiger Faktor für</w:t>
      </w:r>
      <w:r w:rsidRPr="00057D88">
        <w:rPr>
          <w:rFonts w:cs="Helvetica"/>
          <w:bCs/>
          <w:sz w:val="20"/>
        </w:rPr>
        <w:t xml:space="preserve"> </w:t>
      </w:r>
      <w:r>
        <w:rPr>
          <w:rFonts w:cs="Helvetica"/>
          <w:bCs/>
          <w:sz w:val="20"/>
        </w:rPr>
        <w:t xml:space="preserve">die </w:t>
      </w:r>
      <w:r w:rsidRPr="00057D88">
        <w:rPr>
          <w:rFonts w:cs="Helvetica"/>
          <w:bCs/>
          <w:sz w:val="20"/>
        </w:rPr>
        <w:t xml:space="preserve">Akzeptanz </w:t>
      </w:r>
      <w:r>
        <w:rPr>
          <w:rFonts w:cs="Helvetica"/>
          <w:bCs/>
          <w:sz w:val="20"/>
        </w:rPr>
        <w:t xml:space="preserve">des Smart Metering beim </w:t>
      </w:r>
      <w:r w:rsidRPr="00057D88">
        <w:rPr>
          <w:rFonts w:cs="Helvetica"/>
          <w:bCs/>
          <w:sz w:val="20"/>
        </w:rPr>
        <w:t>En</w:t>
      </w:r>
      <w:r w:rsidRPr="00057D88">
        <w:rPr>
          <w:rFonts w:cs="Helvetica"/>
          <w:bCs/>
          <w:sz w:val="20"/>
        </w:rPr>
        <w:t>d</w:t>
      </w:r>
      <w:r w:rsidRPr="00057D88">
        <w:rPr>
          <w:rFonts w:cs="Helvetica"/>
          <w:bCs/>
          <w:sz w:val="20"/>
        </w:rPr>
        <w:t>kun</w:t>
      </w:r>
      <w:r>
        <w:rPr>
          <w:rFonts w:cs="Helvetica"/>
          <w:bCs/>
          <w:sz w:val="20"/>
        </w:rPr>
        <w:t>den</w:t>
      </w:r>
      <w:r w:rsidRPr="00057D88">
        <w:rPr>
          <w:rFonts w:cs="Helvetica"/>
          <w:bCs/>
          <w:sz w:val="20"/>
        </w:rPr>
        <w:t>.</w:t>
      </w:r>
      <w:r>
        <w:rPr>
          <w:rFonts w:cs="Helvetica"/>
          <w:bCs/>
          <w:sz w:val="20"/>
        </w:rPr>
        <w:t xml:space="preserve"> Nach Ansicht von EDNA </w:t>
      </w:r>
      <w:r w:rsidRPr="0094402D">
        <w:rPr>
          <w:rFonts w:cs="Helvetica"/>
          <w:bCs/>
          <w:sz w:val="20"/>
        </w:rPr>
        <w:t>werden Prozesse und R</w:t>
      </w:r>
      <w:r w:rsidRPr="0094402D">
        <w:rPr>
          <w:rFonts w:cs="Helvetica"/>
          <w:bCs/>
          <w:sz w:val="20"/>
        </w:rPr>
        <w:t>e</w:t>
      </w:r>
      <w:r w:rsidRPr="0094402D">
        <w:rPr>
          <w:rFonts w:cs="Helvetica"/>
          <w:bCs/>
          <w:sz w:val="20"/>
        </w:rPr>
        <w:t>geln benötigt, um sicherzustellen, dass jede Marktrolle die relevanten Zählerstände oder and</w:t>
      </w:r>
      <w:r w:rsidRPr="0094402D">
        <w:rPr>
          <w:rFonts w:cs="Helvetica"/>
          <w:bCs/>
          <w:sz w:val="20"/>
        </w:rPr>
        <w:t>e</w:t>
      </w:r>
      <w:r w:rsidRPr="0094402D">
        <w:rPr>
          <w:rFonts w:cs="Helvetica"/>
          <w:bCs/>
          <w:sz w:val="20"/>
        </w:rPr>
        <w:t>re Informat</w:t>
      </w:r>
      <w:r w:rsidRPr="0094402D">
        <w:rPr>
          <w:rFonts w:cs="Helvetica"/>
          <w:bCs/>
          <w:sz w:val="20"/>
        </w:rPr>
        <w:t>i</w:t>
      </w:r>
      <w:r w:rsidRPr="0094402D">
        <w:rPr>
          <w:rFonts w:cs="Helvetica"/>
          <w:bCs/>
          <w:sz w:val="20"/>
        </w:rPr>
        <w:t xml:space="preserve">onen zur richtigen Zeit zur Verfügung hat. </w:t>
      </w:r>
    </w:p>
    <w:p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p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r>
        <w:rPr>
          <w:rFonts w:cs="Helvetica"/>
          <w:bCs/>
          <w:sz w:val="20"/>
        </w:rPr>
        <w:t xml:space="preserve">EDNA weist zudem darauf hin, </w:t>
      </w:r>
      <w:r w:rsidRPr="007D5842">
        <w:rPr>
          <w:rFonts w:cs="Helvetica"/>
          <w:bCs/>
          <w:sz w:val="20"/>
        </w:rPr>
        <w:t xml:space="preserve">dass der Schutz der gesamten Datenkette neu diskutiert werden muss, damit </w:t>
      </w:r>
      <w:r>
        <w:rPr>
          <w:rFonts w:cs="Helvetica"/>
          <w:bCs/>
          <w:sz w:val="20"/>
        </w:rPr>
        <w:t xml:space="preserve">sich </w:t>
      </w:r>
      <w:r w:rsidRPr="007D5842">
        <w:rPr>
          <w:rFonts w:cs="Helvetica"/>
          <w:bCs/>
          <w:sz w:val="20"/>
        </w:rPr>
        <w:t>auch für den Datenaustausch zw</w:t>
      </w:r>
      <w:r w:rsidRPr="007D5842">
        <w:rPr>
          <w:rFonts w:cs="Helvetica"/>
          <w:bCs/>
          <w:sz w:val="20"/>
        </w:rPr>
        <w:t>i</w:t>
      </w:r>
      <w:r w:rsidRPr="007D5842">
        <w:rPr>
          <w:rFonts w:cs="Helvetica"/>
          <w:bCs/>
          <w:sz w:val="20"/>
        </w:rPr>
        <w:t>schen den Marktrollen per EDIFACT das gleiche Sicherheitsniveau erre</w:t>
      </w:r>
      <w:r w:rsidRPr="007D5842">
        <w:rPr>
          <w:rFonts w:cs="Helvetica"/>
          <w:bCs/>
          <w:sz w:val="20"/>
        </w:rPr>
        <w:t>i</w:t>
      </w:r>
      <w:r w:rsidRPr="007D5842">
        <w:rPr>
          <w:rFonts w:cs="Helvetica"/>
          <w:bCs/>
          <w:sz w:val="20"/>
        </w:rPr>
        <w:t>ch</w:t>
      </w:r>
      <w:r>
        <w:rPr>
          <w:rFonts w:cs="Helvetica"/>
          <w:bCs/>
          <w:sz w:val="20"/>
        </w:rPr>
        <w:t>en lässt,</w:t>
      </w:r>
      <w:r w:rsidRPr="007D5842">
        <w:rPr>
          <w:rFonts w:cs="Helvetica"/>
          <w:bCs/>
          <w:sz w:val="20"/>
        </w:rPr>
        <w:t xml:space="preserve"> wie es zwischen Zähler und Gateway angestrebt wird. Sollte hier eine Umstellung erforderlich </w:t>
      </w:r>
      <w:r>
        <w:rPr>
          <w:rFonts w:cs="Helvetica"/>
          <w:bCs/>
          <w:sz w:val="20"/>
        </w:rPr>
        <w:t>sein</w:t>
      </w:r>
      <w:r w:rsidRPr="007D5842">
        <w:rPr>
          <w:rFonts w:cs="Helvetica"/>
          <w:bCs/>
          <w:sz w:val="20"/>
        </w:rPr>
        <w:t xml:space="preserve">, </w:t>
      </w:r>
      <w:r>
        <w:rPr>
          <w:rFonts w:cs="Helvetica"/>
          <w:bCs/>
          <w:sz w:val="20"/>
        </w:rPr>
        <w:t>müsste</w:t>
      </w:r>
      <w:r w:rsidRPr="007D5842">
        <w:rPr>
          <w:rFonts w:cs="Helvetica"/>
          <w:bCs/>
          <w:sz w:val="20"/>
        </w:rPr>
        <w:t xml:space="preserve"> die </w:t>
      </w:r>
      <w:r>
        <w:rPr>
          <w:rFonts w:cs="Helvetica"/>
          <w:bCs/>
          <w:sz w:val="20"/>
        </w:rPr>
        <w:t>Anpassung</w:t>
      </w:r>
      <w:r w:rsidRPr="007D5842">
        <w:rPr>
          <w:rFonts w:cs="Helvetica"/>
          <w:bCs/>
          <w:sz w:val="20"/>
        </w:rPr>
        <w:t xml:space="preserve"> der etablierten Proze</w:t>
      </w:r>
      <w:r w:rsidRPr="007D5842">
        <w:rPr>
          <w:rFonts w:cs="Helvetica"/>
          <w:bCs/>
          <w:sz w:val="20"/>
        </w:rPr>
        <w:t>s</w:t>
      </w:r>
      <w:r w:rsidRPr="007D5842">
        <w:rPr>
          <w:rFonts w:cs="Helvetica"/>
          <w:bCs/>
          <w:sz w:val="20"/>
        </w:rPr>
        <w:t>se zeitlich von der Anfangsphase der Smart-Meter-Einführung en</w:t>
      </w:r>
      <w:r w:rsidRPr="007D5842">
        <w:rPr>
          <w:rFonts w:cs="Helvetica"/>
          <w:bCs/>
          <w:sz w:val="20"/>
        </w:rPr>
        <w:t>t</w:t>
      </w:r>
      <w:r w:rsidRPr="007D5842">
        <w:rPr>
          <w:rFonts w:cs="Helvetica"/>
          <w:bCs/>
          <w:sz w:val="20"/>
        </w:rPr>
        <w:t xml:space="preserve">koppelt </w:t>
      </w:r>
      <w:r>
        <w:rPr>
          <w:rFonts w:cs="Helvetica"/>
          <w:bCs/>
          <w:sz w:val="20"/>
        </w:rPr>
        <w:t>werden</w:t>
      </w:r>
      <w:r w:rsidRPr="007D5842">
        <w:rPr>
          <w:rFonts w:cs="Helvetica"/>
          <w:bCs/>
          <w:sz w:val="20"/>
        </w:rPr>
        <w:t xml:space="preserve">, damit </w:t>
      </w:r>
      <w:r>
        <w:rPr>
          <w:rFonts w:cs="Helvetica"/>
          <w:bCs/>
          <w:sz w:val="20"/>
        </w:rPr>
        <w:t xml:space="preserve">der </w:t>
      </w:r>
      <w:r w:rsidRPr="007D5842">
        <w:rPr>
          <w:rFonts w:cs="Helvetica"/>
          <w:bCs/>
          <w:sz w:val="20"/>
        </w:rPr>
        <w:t>Markt</w:t>
      </w:r>
      <w:r>
        <w:rPr>
          <w:rFonts w:cs="Helvetica"/>
          <w:bCs/>
          <w:sz w:val="20"/>
        </w:rPr>
        <w:t xml:space="preserve"> letztere</w:t>
      </w:r>
      <w:r w:rsidRPr="007D5842">
        <w:rPr>
          <w:rFonts w:cs="Helvetica"/>
          <w:bCs/>
          <w:sz w:val="20"/>
        </w:rPr>
        <w:t xml:space="preserve"> ohne größere Pro</w:t>
      </w:r>
      <w:r w:rsidRPr="007D5842">
        <w:rPr>
          <w:rFonts w:cs="Helvetica"/>
          <w:bCs/>
          <w:sz w:val="20"/>
        </w:rPr>
        <w:t>b</w:t>
      </w:r>
      <w:r w:rsidRPr="007D5842">
        <w:rPr>
          <w:rFonts w:cs="Helvetica"/>
          <w:bCs/>
          <w:sz w:val="20"/>
        </w:rPr>
        <w:t xml:space="preserve">leme </w:t>
      </w:r>
      <w:r>
        <w:rPr>
          <w:rFonts w:cs="Helvetica"/>
          <w:bCs/>
          <w:sz w:val="20"/>
        </w:rPr>
        <w:t>umsetzen kann.</w:t>
      </w:r>
    </w:p>
    <w:p w:rsidR="002B3001" w:rsidRPr="007D5842"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2B3001" w:rsidRPr="00A37CFF" w:rsidTr="00DE176A">
        <w:tblPrEx>
          <w:tblCellMar>
            <w:top w:w="0" w:type="dxa"/>
            <w:bottom w:w="0" w:type="dxa"/>
          </w:tblCellMar>
        </w:tblPrEx>
        <w:tc>
          <w:tcPr>
            <w:tcW w:w="5070" w:type="dxa"/>
          </w:tcPr>
          <w:p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rsidR="002B3001"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rsidR="002B3001" w:rsidRPr="00330D86"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c/o ifed.Institut für Energiedienstleistungen GmbH</w:t>
            </w:r>
          </w:p>
          <w:p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rsidR="002B3001" w:rsidRPr="004438A7" w:rsidRDefault="002B3001" w:rsidP="00DE176A">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lang w:val="en-US"/>
              </w:rPr>
            </w:pPr>
            <w:r w:rsidRPr="004438A7">
              <w:rPr>
                <w:rFonts w:cs="Helvetica"/>
                <w:sz w:val="16"/>
                <w:szCs w:val="16"/>
                <w:lang w:val="en-US"/>
              </w:rPr>
              <w:t>Tel.: +49 7621 16308 18 - Fax: +49 7621 5500 261</w:t>
            </w:r>
          </w:p>
          <w:p w:rsidR="002B3001" w:rsidRPr="004438A7"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4438A7">
              <w:rPr>
                <w:rFonts w:cs="Helvetica"/>
                <w:sz w:val="16"/>
                <w:szCs w:val="16"/>
                <w:lang w:val="en-US"/>
              </w:rPr>
              <w:t xml:space="preserve">r.winkler(at)edna-initiative.de - </w:t>
            </w:r>
            <w:hyperlink r:id="rId8" w:history="1">
              <w:r w:rsidRPr="004438A7">
                <w:rPr>
                  <w:rStyle w:val="Link"/>
                  <w:rFonts w:cs="Helvetica"/>
                  <w:sz w:val="16"/>
                  <w:szCs w:val="16"/>
                  <w:lang w:val="en-US"/>
                </w:rPr>
                <w:t>www.edna-initiative.de</w:t>
              </w:r>
            </w:hyperlink>
          </w:p>
        </w:tc>
        <w:tc>
          <w:tcPr>
            <w:tcW w:w="4110" w:type="dxa"/>
          </w:tcPr>
          <w:p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 xml:space="preserve">Press'n’Relations GmbH - Uwe Pagel </w:t>
            </w:r>
          </w:p>
          <w:p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r w:rsidRPr="005E529B">
              <w:rPr>
                <w:rFonts w:cs="Helvetica"/>
                <w:sz w:val="16"/>
                <w:szCs w:val="16"/>
              </w:rPr>
              <w:t xml:space="preserve">Tel.: +49 731 96287-29 - Fax: +49 731 96287-97 </w:t>
            </w:r>
          </w:p>
          <w:p w:rsidR="002B3001" w:rsidRPr="00A37CFF"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A37CFF">
              <w:rPr>
                <w:rFonts w:cs="Helvetica"/>
                <w:sz w:val="16"/>
                <w:szCs w:val="16"/>
                <w:lang w:val="en-US"/>
              </w:rPr>
              <w:t xml:space="preserve">upa(at)press-n-relations.de - </w:t>
            </w:r>
            <w:hyperlink r:id="rId9" w:history="1">
              <w:r w:rsidRPr="00A37CFF">
                <w:rPr>
                  <w:rStyle w:val="Link"/>
                  <w:rFonts w:cs="Helvetica"/>
                  <w:sz w:val="16"/>
                  <w:szCs w:val="16"/>
                  <w:lang w:val="en-US"/>
                </w:rPr>
                <w:t>www.press-n-relations.de</w:t>
              </w:r>
            </w:hyperlink>
          </w:p>
          <w:p w:rsidR="002B3001" w:rsidRPr="00A37CFF"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rsidR="002B3001" w:rsidRPr="00A37CFF"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rsidR="002B3001" w:rsidRPr="00775BA0" w:rsidRDefault="002B3001" w:rsidP="002B3001">
      <w:pPr>
        <w:ind w:right="-2267"/>
        <w:rPr>
          <w:rFonts w:cs="Helvetica"/>
          <w:b/>
          <w:bCs/>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w:t>
      </w:r>
      <w:r w:rsidRPr="005E529B">
        <w:rPr>
          <w:rFonts w:cs="Helvetica"/>
          <w:sz w:val="16"/>
          <w:szCs w:val="16"/>
        </w:rPr>
        <w:t>s</w:t>
      </w:r>
      <w:r w:rsidRPr="005E529B">
        <w:rPr>
          <w:rFonts w:cs="Helvetica"/>
          <w:sz w:val="16"/>
          <w:szCs w:val="16"/>
        </w:rPr>
        <w:t>ber</w:t>
      </w:r>
      <w:r w:rsidRPr="005E529B">
        <w:rPr>
          <w:rFonts w:cs="Helvetica"/>
          <w:sz w:val="16"/>
          <w:szCs w:val="16"/>
        </w:rPr>
        <w:t>a</w:t>
      </w:r>
      <w:r w:rsidRPr="005E529B">
        <w:rPr>
          <w:rFonts w:cs="Helvetica"/>
          <w:sz w:val="16"/>
          <w:szCs w:val="16"/>
        </w:rPr>
        <w:t>tern und IT-Dienstleistern sowie Anwendern aus den Aufgabenbereichen des eBusiness in den Energiemärkten rund um die Energielogi</w:t>
      </w:r>
      <w:r w:rsidRPr="005E529B">
        <w:rPr>
          <w:rFonts w:cs="Helvetica"/>
          <w:sz w:val="16"/>
          <w:szCs w:val="16"/>
        </w:rPr>
        <w:t>s</w:t>
      </w:r>
      <w:r w:rsidRPr="005E529B">
        <w:rPr>
          <w:rFonts w:cs="Helvetica"/>
          <w:sz w:val="16"/>
          <w:szCs w:val="16"/>
        </w:rPr>
        <w:t>tik. Das Ziel der EDNA ist es, die Automatisierung der Geschäftsprozesse zwischen den Marktpartnern in der Energiewirtschaft zu fördern und dafür bestehende und neue Standards für den elektronischen Datenaustausch in den Sof</w:t>
      </w:r>
      <w:r w:rsidRPr="005E529B">
        <w:rPr>
          <w:rFonts w:cs="Helvetica"/>
          <w:sz w:val="16"/>
          <w:szCs w:val="16"/>
        </w:rPr>
        <w:t>t</w:t>
      </w:r>
      <w:r w:rsidRPr="005E529B">
        <w:rPr>
          <w:rFonts w:cs="Helvetica"/>
          <w:sz w:val="16"/>
          <w:szCs w:val="16"/>
        </w:rPr>
        <w:t>waresyst</w:t>
      </w:r>
      <w:r w:rsidRPr="005E529B">
        <w:rPr>
          <w:rFonts w:cs="Helvetica"/>
          <w:sz w:val="16"/>
          <w:szCs w:val="16"/>
        </w:rPr>
        <w:t>e</w:t>
      </w:r>
      <w:r w:rsidRPr="005E529B">
        <w:rPr>
          <w:rFonts w:cs="Helvetica"/>
          <w:sz w:val="16"/>
          <w:szCs w:val="16"/>
        </w:rPr>
        <w:t>men umzusetzen und damit „kaufbar“ zu machen. Gleichzeitig soll über ein Zertifizierungsverfahren und ein EDNA-Qualitätssiegel s</w:t>
      </w:r>
      <w:r w:rsidRPr="005E529B">
        <w:rPr>
          <w:rFonts w:cs="Helvetica"/>
          <w:sz w:val="16"/>
          <w:szCs w:val="16"/>
        </w:rPr>
        <w:t>i</w:t>
      </w:r>
      <w:r w:rsidRPr="005E529B">
        <w:rPr>
          <w:rFonts w:cs="Helvetica"/>
          <w:sz w:val="16"/>
          <w:szCs w:val="16"/>
        </w:rPr>
        <w:t>chergestellt werden, dass IT-Systeme die festgelegten Standards auch tatsächlich erfüllen. Für den Anwender bedeutet das eine sehr viel größere Entscheidungs- und Investitionssicherheit als bisher, weil aufwändige Schnittstellenpr</w:t>
      </w:r>
      <w:r w:rsidRPr="005E529B">
        <w:rPr>
          <w:rFonts w:cs="Helvetica"/>
          <w:sz w:val="16"/>
          <w:szCs w:val="16"/>
        </w:rPr>
        <w:t>o</w:t>
      </w:r>
      <w:r w:rsidRPr="005E529B">
        <w:rPr>
          <w:rFonts w:cs="Helvetica"/>
          <w:sz w:val="16"/>
          <w:szCs w:val="16"/>
        </w:rPr>
        <w:t>grammierungen und Integrationsanstrengungen überflüssig werden. Gleichzeitig kann er über die Automatisierung von G</w:t>
      </w:r>
      <w:r w:rsidRPr="005E529B">
        <w:rPr>
          <w:rFonts w:cs="Helvetica"/>
          <w:sz w:val="16"/>
          <w:szCs w:val="16"/>
        </w:rPr>
        <w:t>e</w:t>
      </w:r>
      <w:r w:rsidRPr="005E529B">
        <w:rPr>
          <w:rFonts w:cs="Helvetica"/>
          <w:sz w:val="16"/>
          <w:szCs w:val="16"/>
        </w:rPr>
        <w:t>schäftsprozessen erhebliche Rationalisierungspotenziale e</w:t>
      </w:r>
      <w:r w:rsidRPr="005E529B">
        <w:rPr>
          <w:rFonts w:cs="Helvetica"/>
          <w:sz w:val="16"/>
          <w:szCs w:val="16"/>
        </w:rPr>
        <w:t>r</w:t>
      </w:r>
      <w:r w:rsidRPr="005E529B">
        <w:rPr>
          <w:rFonts w:cs="Helvetica"/>
          <w:sz w:val="16"/>
          <w:szCs w:val="16"/>
        </w:rPr>
        <w:t>schließen.</w:t>
      </w:r>
    </w:p>
    <w:p w:rsidR="002B3001" w:rsidRPr="00063499"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bCs/>
          <w:sz w:val="16"/>
          <w:szCs w:val="16"/>
        </w:rPr>
      </w:pPr>
      <w:r>
        <w:rPr>
          <w:rFonts w:ascii="Arial" w:hAnsi="Arial" w:cs="Arial"/>
          <w:b/>
          <w:bCs/>
          <w:sz w:val="16"/>
          <w:szCs w:val="16"/>
        </w:rPr>
        <w:t xml:space="preserve">Folgende </w:t>
      </w:r>
      <w:r w:rsidR="00B749AC">
        <w:rPr>
          <w:rFonts w:ascii="Arial" w:hAnsi="Arial" w:cs="Arial"/>
          <w:b/>
          <w:bCs/>
          <w:sz w:val="16"/>
          <w:szCs w:val="16"/>
        </w:rPr>
        <w:t>70</w:t>
      </w:r>
      <w:r w:rsidRPr="00063499">
        <w:rPr>
          <w:rFonts w:ascii="Arial" w:hAnsi="Arial" w:cs="Arial"/>
          <w:b/>
          <w:bCs/>
          <w:sz w:val="16"/>
          <w:szCs w:val="16"/>
        </w:rPr>
        <w:t xml:space="preserve"> Unternehmen/ Organisationen sind derzeit Mitglieder de</w:t>
      </w:r>
      <w:r>
        <w:rPr>
          <w:rFonts w:ascii="Arial" w:hAnsi="Arial" w:cs="Arial"/>
          <w:b/>
          <w:bCs/>
          <w:sz w:val="16"/>
          <w:szCs w:val="16"/>
        </w:rPr>
        <w:t>s</w:t>
      </w:r>
      <w:r w:rsidRPr="00063499">
        <w:rPr>
          <w:rFonts w:ascii="Arial" w:hAnsi="Arial" w:cs="Arial"/>
          <w:b/>
          <w:bCs/>
          <w:sz w:val="16"/>
          <w:szCs w:val="16"/>
        </w:rPr>
        <w:t xml:space="preserve"> EDNA</w:t>
      </w:r>
      <w:r>
        <w:rPr>
          <w:rFonts w:ascii="Arial" w:hAnsi="Arial" w:cs="Arial"/>
          <w:b/>
          <w:bCs/>
          <w:sz w:val="16"/>
          <w:szCs w:val="16"/>
        </w:rPr>
        <w:t xml:space="preserve"> Bundesve</w:t>
      </w:r>
      <w:r>
        <w:rPr>
          <w:rFonts w:ascii="Arial" w:hAnsi="Arial" w:cs="Arial"/>
          <w:b/>
          <w:bCs/>
          <w:sz w:val="16"/>
          <w:szCs w:val="16"/>
        </w:rPr>
        <w:t>r</w:t>
      </w:r>
      <w:r>
        <w:rPr>
          <w:rFonts w:ascii="Arial" w:hAnsi="Arial" w:cs="Arial"/>
          <w:b/>
          <w:bCs/>
          <w:sz w:val="16"/>
          <w:szCs w:val="16"/>
        </w:rPr>
        <w:t>band Ene</w:t>
      </w:r>
      <w:r>
        <w:rPr>
          <w:rFonts w:ascii="Arial" w:hAnsi="Arial" w:cs="Arial"/>
          <w:b/>
          <w:bCs/>
          <w:sz w:val="16"/>
          <w:szCs w:val="16"/>
        </w:rPr>
        <w:t>r</w:t>
      </w:r>
      <w:r>
        <w:rPr>
          <w:rFonts w:ascii="Arial" w:hAnsi="Arial" w:cs="Arial"/>
          <w:b/>
          <w:bCs/>
          <w:sz w:val="16"/>
          <w:szCs w:val="16"/>
        </w:rPr>
        <w:t>giemarkt &amp; Kommunikation e.V.</w:t>
      </w:r>
      <w:r w:rsidRPr="00063499">
        <w:rPr>
          <w:rFonts w:ascii="Arial" w:hAnsi="Arial" w:cs="Arial"/>
          <w:b/>
          <w:bCs/>
          <w:sz w:val="16"/>
          <w:szCs w:val="16"/>
        </w:rPr>
        <w:t>:</w:t>
      </w:r>
    </w:p>
    <w:p w:rsidR="002B3001" w:rsidRPr="00D37BAA"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r w:rsidRPr="0012123E">
        <w:rPr>
          <w:rFonts w:ascii="Arial" w:hAnsi="Arial" w:cs="Arial"/>
          <w:bCs/>
          <w:sz w:val="16"/>
          <w:szCs w:val="16"/>
        </w:rPr>
        <w:t xml:space="preserve">AKTIF Technology GmbH, ArcMind Technologies GmbH, arvato systems | Technologies GmbH, Atos </w:t>
      </w:r>
      <w:r w:rsidR="00B749AC">
        <w:rPr>
          <w:rFonts w:ascii="Arial" w:hAnsi="Arial" w:cs="Arial"/>
          <w:bCs/>
          <w:sz w:val="16"/>
          <w:szCs w:val="16"/>
        </w:rPr>
        <w:t>Information Technology</w:t>
      </w:r>
      <w:r w:rsidRPr="0012123E">
        <w:rPr>
          <w:rFonts w:ascii="Arial" w:hAnsi="Arial" w:cs="Arial"/>
          <w:bCs/>
          <w:sz w:val="16"/>
          <w:szCs w:val="16"/>
        </w:rPr>
        <w:t xml:space="preserve"> GmbH, badenova AG</w:t>
      </w:r>
      <w:r w:rsidR="00B749AC">
        <w:rPr>
          <w:rFonts w:ascii="Arial" w:hAnsi="Arial" w:cs="Arial"/>
          <w:bCs/>
          <w:sz w:val="16"/>
          <w:szCs w:val="16"/>
        </w:rPr>
        <w:t xml:space="preserve"> </w:t>
      </w:r>
      <w:r w:rsidRPr="0012123E">
        <w:rPr>
          <w:rFonts w:ascii="Arial" w:hAnsi="Arial" w:cs="Arial"/>
          <w:bCs/>
          <w:sz w:val="16"/>
          <w:szCs w:val="16"/>
        </w:rPr>
        <w:t>&amp;</w:t>
      </w:r>
      <w:r w:rsidR="00B749AC">
        <w:rPr>
          <w:rFonts w:ascii="Arial" w:hAnsi="Arial" w:cs="Arial"/>
          <w:bCs/>
          <w:sz w:val="16"/>
          <w:szCs w:val="16"/>
        </w:rPr>
        <w:t xml:space="preserve"> </w:t>
      </w:r>
      <w:r w:rsidRPr="0012123E">
        <w:rPr>
          <w:rFonts w:ascii="Arial" w:hAnsi="Arial" w:cs="Arial"/>
          <w:bCs/>
          <w:sz w:val="16"/>
          <w:szCs w:val="16"/>
        </w:rPr>
        <w:t>Co</w:t>
      </w:r>
      <w:r w:rsidR="00B749AC">
        <w:rPr>
          <w:rFonts w:ascii="Arial" w:hAnsi="Arial" w:cs="Arial"/>
          <w:bCs/>
          <w:sz w:val="16"/>
          <w:szCs w:val="16"/>
        </w:rPr>
        <w:t>.</w:t>
      </w:r>
      <w:r w:rsidRPr="0012123E">
        <w:rPr>
          <w:rFonts w:ascii="Arial" w:hAnsi="Arial" w:cs="Arial"/>
          <w:bCs/>
          <w:sz w:val="16"/>
          <w:szCs w:val="16"/>
        </w:rPr>
        <w:t xml:space="preserve"> KG, Brady Energy AG</w:t>
      </w:r>
      <w:r>
        <w:rPr>
          <w:rFonts w:ascii="Arial" w:hAnsi="Arial" w:cs="Arial"/>
          <w:bCs/>
          <w:sz w:val="16"/>
          <w:szCs w:val="16"/>
        </w:rPr>
        <w:t xml:space="preserve">, </w:t>
      </w:r>
      <w:r w:rsidRPr="0012123E">
        <w:rPr>
          <w:rFonts w:ascii="Arial" w:hAnsi="Arial" w:cs="Arial"/>
          <w:bCs/>
          <w:sz w:val="16"/>
          <w:szCs w:val="16"/>
        </w:rPr>
        <w:t xml:space="preserve">BTC Business Technology Consulting AG, Client Computing Germany GmbH, co.met GmbH, ConEnergy Unternehmensberatung GmbH &amp; Co. KG, COUNT+CARE GmbH, </w:t>
      </w:r>
      <w:r w:rsidR="00B749AC">
        <w:rPr>
          <w:rFonts w:ascii="Arial" w:hAnsi="Arial" w:cs="Arial"/>
          <w:bCs/>
          <w:sz w:val="16"/>
          <w:szCs w:val="16"/>
        </w:rPr>
        <w:t>c</w:t>
      </w:r>
      <w:r w:rsidRPr="0012123E">
        <w:rPr>
          <w:rFonts w:ascii="Arial" w:hAnsi="Arial" w:cs="Arial"/>
          <w:bCs/>
          <w:sz w:val="16"/>
          <w:szCs w:val="16"/>
        </w:rPr>
        <w:t>ronos Unternehmen</w:t>
      </w:r>
      <w:r w:rsidRPr="0012123E">
        <w:rPr>
          <w:rFonts w:ascii="Arial" w:hAnsi="Arial" w:cs="Arial"/>
          <w:bCs/>
          <w:sz w:val="16"/>
          <w:szCs w:val="16"/>
        </w:rPr>
        <w:t>s</w:t>
      </w:r>
      <w:r w:rsidRPr="0012123E">
        <w:rPr>
          <w:rFonts w:ascii="Arial" w:hAnsi="Arial" w:cs="Arial"/>
          <w:bCs/>
          <w:sz w:val="16"/>
          <w:szCs w:val="16"/>
        </w:rPr>
        <w:t>beratung GmbH, CURSOR Software AG, DSC Unte</w:t>
      </w:r>
      <w:r w:rsidRPr="0012123E">
        <w:rPr>
          <w:rFonts w:ascii="Arial" w:hAnsi="Arial" w:cs="Arial"/>
          <w:bCs/>
          <w:sz w:val="16"/>
          <w:szCs w:val="16"/>
        </w:rPr>
        <w:t>r</w:t>
      </w:r>
      <w:r w:rsidRPr="0012123E">
        <w:rPr>
          <w:rFonts w:ascii="Arial" w:hAnsi="Arial" w:cs="Arial"/>
          <w:bCs/>
          <w:sz w:val="16"/>
          <w:szCs w:val="16"/>
        </w:rPr>
        <w:t>nehmensberatung GmbH, EBSnet eEnergy Software GmbH, EnDaNet GmbH</w:t>
      </w:r>
      <w:r w:rsidR="00B749AC">
        <w:rPr>
          <w:rFonts w:ascii="Arial" w:hAnsi="Arial" w:cs="Arial"/>
          <w:bCs/>
          <w:sz w:val="16"/>
          <w:szCs w:val="16"/>
        </w:rPr>
        <w:t xml:space="preserve">, </w:t>
      </w:r>
      <w:r w:rsidRPr="0012123E">
        <w:rPr>
          <w:rFonts w:ascii="Arial" w:hAnsi="Arial" w:cs="Arial"/>
          <w:bCs/>
          <w:sz w:val="16"/>
          <w:szCs w:val="16"/>
        </w:rPr>
        <w:t>EnergiePartner GmbH, EnergyICT GmbH, enmore consulting AG, ENSECO GmbH</w:t>
      </w:r>
      <w:r>
        <w:rPr>
          <w:rFonts w:ascii="Arial" w:hAnsi="Arial" w:cs="Arial"/>
          <w:bCs/>
          <w:sz w:val="16"/>
          <w:szCs w:val="16"/>
        </w:rPr>
        <w:t xml:space="preserve">, </w:t>
      </w:r>
      <w:r w:rsidR="00B749AC">
        <w:rPr>
          <w:rFonts w:ascii="Arial" w:hAnsi="Arial" w:cs="Arial"/>
          <w:bCs/>
          <w:sz w:val="16"/>
          <w:szCs w:val="16"/>
        </w:rPr>
        <w:t xml:space="preserve">evu-it GmbH, </w:t>
      </w:r>
      <w:r w:rsidRPr="0012123E">
        <w:rPr>
          <w:rFonts w:ascii="Arial" w:hAnsi="Arial" w:cs="Arial"/>
          <w:bCs/>
          <w:sz w:val="16"/>
          <w:szCs w:val="16"/>
        </w:rPr>
        <w:t>EW Medien und Ko</w:t>
      </w:r>
      <w:r w:rsidRPr="0012123E">
        <w:rPr>
          <w:rFonts w:ascii="Arial" w:hAnsi="Arial" w:cs="Arial"/>
          <w:bCs/>
          <w:sz w:val="16"/>
          <w:szCs w:val="16"/>
        </w:rPr>
        <w:t>n</w:t>
      </w:r>
      <w:r w:rsidRPr="0012123E">
        <w:rPr>
          <w:rFonts w:ascii="Arial" w:hAnsi="Arial" w:cs="Arial"/>
          <w:bCs/>
          <w:sz w:val="16"/>
          <w:szCs w:val="16"/>
        </w:rPr>
        <w:t>gresse GmbH, FACTUR Billing Solutions GmbH, Ferranti Computer Systems, Fichtner IT Consulting AG, Fraunhofer-Anwendungszentrum Systemtechnik (AST), GETEC Daten- und Abrec</w:t>
      </w:r>
      <w:r w:rsidRPr="0012123E">
        <w:rPr>
          <w:rFonts w:ascii="Arial" w:hAnsi="Arial" w:cs="Arial"/>
          <w:bCs/>
          <w:sz w:val="16"/>
          <w:szCs w:val="16"/>
        </w:rPr>
        <w:t>h</w:t>
      </w:r>
      <w:r w:rsidRPr="0012123E">
        <w:rPr>
          <w:rFonts w:ascii="Arial" w:hAnsi="Arial" w:cs="Arial"/>
          <w:bCs/>
          <w:sz w:val="16"/>
          <w:szCs w:val="16"/>
        </w:rPr>
        <w:t>nungsmanagement GmbH, GISA GmbH, GÖRLITZ AG, HAKOM EDV Dienstleistungsges.m.b.H.,</w:t>
      </w:r>
      <w:r w:rsidR="00B749AC" w:rsidRPr="00B749AC">
        <w:rPr>
          <w:rFonts w:ascii="Arial" w:hAnsi="Arial" w:cs="Arial"/>
          <w:bCs/>
          <w:sz w:val="16"/>
          <w:szCs w:val="16"/>
        </w:rPr>
        <w:t xml:space="preserve"> </w:t>
      </w:r>
      <w:r w:rsidR="00B749AC">
        <w:rPr>
          <w:rFonts w:ascii="Arial" w:hAnsi="Arial" w:cs="Arial"/>
          <w:bCs/>
          <w:sz w:val="16"/>
          <w:szCs w:val="16"/>
        </w:rPr>
        <w:t>Heidelberger Services Abrechnungsgesellschaft,</w:t>
      </w:r>
      <w:r w:rsidRPr="0012123E">
        <w:rPr>
          <w:rFonts w:ascii="Arial" w:hAnsi="Arial" w:cs="Arial"/>
          <w:bCs/>
          <w:sz w:val="16"/>
          <w:szCs w:val="16"/>
        </w:rPr>
        <w:t xml:space="preserve"> IDESIA Consulting GmbH, IDS Scheer Consulting GmbH, InterSystems GmbH,</w:t>
      </w:r>
      <w:r w:rsidR="00B749AC">
        <w:rPr>
          <w:rFonts w:ascii="Arial" w:hAnsi="Arial" w:cs="Arial"/>
          <w:bCs/>
          <w:sz w:val="16"/>
          <w:szCs w:val="16"/>
        </w:rPr>
        <w:t xml:space="preserve"> ifed. GmbH,</w:t>
      </w:r>
      <w:r w:rsidRPr="0012123E">
        <w:rPr>
          <w:rFonts w:ascii="Arial" w:hAnsi="Arial" w:cs="Arial"/>
          <w:bCs/>
          <w:sz w:val="16"/>
          <w:szCs w:val="16"/>
        </w:rPr>
        <w:t xml:space="preserve"> inubit AG, IRM Integriertes Ressourcen-Management GmbH, items GmbH, ITF-EDV Fröschl GmbH, KARA AG, KEMA Nede</w:t>
      </w:r>
      <w:r w:rsidRPr="0012123E">
        <w:rPr>
          <w:rFonts w:ascii="Arial" w:hAnsi="Arial" w:cs="Arial"/>
          <w:bCs/>
          <w:sz w:val="16"/>
          <w:szCs w:val="16"/>
        </w:rPr>
        <w:t>r</w:t>
      </w:r>
      <w:r w:rsidRPr="0012123E">
        <w:rPr>
          <w:rFonts w:ascii="Arial" w:hAnsi="Arial" w:cs="Arial"/>
          <w:bCs/>
          <w:sz w:val="16"/>
          <w:szCs w:val="16"/>
        </w:rPr>
        <w:t xml:space="preserve">land BV, Kisters AG, Klafka &amp; Hinz Energie- und Informations-Systeme GmbH, KOMKE Consulting (BDU), Landis+Gyr GmbH, make IT GmbH, Manss und Partner GmbH, Meine-Energie GmbH, msu solutions GmbH, numetris AG, NZR - Nordwestdeutsche Zählerrevision GmbH &amp; Co. KG, </w:t>
      </w:r>
      <w:r w:rsidR="00B749AC">
        <w:rPr>
          <w:rFonts w:ascii="Arial" w:hAnsi="Arial" w:cs="Arial"/>
          <w:bCs/>
          <w:sz w:val="16"/>
          <w:szCs w:val="16"/>
        </w:rPr>
        <w:t>nume</w:t>
      </w:r>
      <w:r w:rsidR="00B749AC">
        <w:rPr>
          <w:rFonts w:ascii="Arial" w:hAnsi="Arial" w:cs="Arial"/>
          <w:bCs/>
          <w:sz w:val="16"/>
          <w:szCs w:val="16"/>
        </w:rPr>
        <w:t>t</w:t>
      </w:r>
      <w:r w:rsidR="00B749AC">
        <w:rPr>
          <w:rFonts w:ascii="Arial" w:hAnsi="Arial" w:cs="Arial"/>
          <w:bCs/>
          <w:sz w:val="16"/>
          <w:szCs w:val="16"/>
        </w:rPr>
        <w:t xml:space="preserve">ris AG, </w:t>
      </w:r>
      <w:r w:rsidRPr="0012123E">
        <w:rPr>
          <w:rFonts w:ascii="Arial" w:hAnsi="Arial" w:cs="Arial"/>
          <w:bCs/>
          <w:sz w:val="16"/>
          <w:szCs w:val="16"/>
        </w:rPr>
        <w:t>OFFIS, phi-Consulting GmbH, PricewaterhouseCoopers AG Wirtschaftsprüfungsgesellschaft, procilon IT-Solutions GmbH, PSI AG, regiocom GmbH, Robo</w:t>
      </w:r>
      <w:r w:rsidRPr="0012123E">
        <w:rPr>
          <w:rFonts w:ascii="Arial" w:hAnsi="Arial" w:cs="Arial"/>
          <w:bCs/>
          <w:sz w:val="16"/>
          <w:szCs w:val="16"/>
        </w:rPr>
        <w:t>t</w:t>
      </w:r>
      <w:r w:rsidRPr="0012123E">
        <w:rPr>
          <w:rFonts w:ascii="Arial" w:hAnsi="Arial" w:cs="Arial"/>
          <w:bCs/>
          <w:sz w:val="16"/>
          <w:szCs w:val="16"/>
        </w:rPr>
        <w:t>ron Datenbank-Software GmbH, Schleupen AG, SDK - Software Development Kopf GmbH, SEEBURGER AG, SIV.AG, Software AG, SOPTIM AG, Stadtwerke Schw</w:t>
      </w:r>
      <w:r w:rsidRPr="0012123E">
        <w:rPr>
          <w:rFonts w:ascii="Arial" w:hAnsi="Arial" w:cs="Arial"/>
          <w:bCs/>
          <w:sz w:val="16"/>
          <w:szCs w:val="16"/>
        </w:rPr>
        <w:t>ä</w:t>
      </w:r>
      <w:r w:rsidRPr="0012123E">
        <w:rPr>
          <w:rFonts w:ascii="Arial" w:hAnsi="Arial" w:cs="Arial"/>
          <w:bCs/>
          <w:sz w:val="16"/>
          <w:szCs w:val="16"/>
        </w:rPr>
        <w:t>bisch Hall GmbH, SWU Energie GmbH, ubitronix system solutions gmbh, VisoTech Softwareentwicklung</w:t>
      </w:r>
      <w:r w:rsidRPr="0012123E">
        <w:rPr>
          <w:rFonts w:ascii="Arial" w:hAnsi="Arial" w:cs="Arial"/>
          <w:bCs/>
          <w:sz w:val="16"/>
          <w:szCs w:val="16"/>
        </w:rPr>
        <w:t>s</w:t>
      </w:r>
      <w:r w:rsidRPr="0012123E">
        <w:rPr>
          <w:rFonts w:ascii="Arial" w:hAnsi="Arial" w:cs="Arial"/>
          <w:bCs/>
          <w:sz w:val="16"/>
          <w:szCs w:val="16"/>
        </w:rPr>
        <w:t>ges.m.b.H., Wilken GmbH, Wilken Neutrasoft GmbH</w:t>
      </w:r>
    </w:p>
    <w:p w:rsidR="002B7FE5" w:rsidRPr="002B3001" w:rsidRDefault="002B7FE5" w:rsidP="002B3001"/>
    <w:sectPr w:rsidR="002B7FE5" w:rsidRPr="002B3001" w:rsidSect="00822054">
      <w:headerReference w:type="default" r:id="rId10"/>
      <w:footerReference w:type="default" r:id="rId11"/>
      <w:pgSz w:w="11906" w:h="16838"/>
      <w:pgMar w:top="1985" w:right="3684"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907" w:rsidRDefault="00CD0907">
      <w:pPr>
        <w:spacing w:after="0"/>
      </w:pPr>
      <w:r>
        <w:separator/>
      </w:r>
    </w:p>
  </w:endnote>
  <w:endnote w:type="continuationSeparator" w:id="0">
    <w:p w:rsidR="00CD0907" w:rsidRDefault="00CD09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02D" w:rsidRDefault="0094402D" w:rsidP="00261C21">
    <w:pPr>
      <w:pStyle w:val="Fuzeile"/>
      <w:ind w:right="-240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907" w:rsidRDefault="00CD0907">
      <w:pPr>
        <w:spacing w:after="0"/>
      </w:pPr>
      <w:r>
        <w:separator/>
      </w:r>
    </w:p>
  </w:footnote>
  <w:footnote w:type="continuationSeparator" w:id="0">
    <w:p w:rsidR="00CD0907" w:rsidRDefault="00CD0907">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02D" w:rsidRDefault="002D7B92" w:rsidP="006F0ECA">
    <w:pPr>
      <w:pStyle w:val="Kopfzeile"/>
      <w:tabs>
        <w:tab w:val="clear" w:pos="9072"/>
        <w:tab w:val="right" w:pos="9781"/>
      </w:tabs>
      <w:ind w:right="-3260"/>
      <w:jc w:val="right"/>
    </w:pPr>
    <w:r>
      <w:rPr>
        <w:noProof/>
        <w:lang w:eastAsia="de-DE"/>
      </w:rPr>
      <mc:AlternateContent>
        <mc:Choice Requires="wps">
          <w:drawing>
            <wp:anchor distT="0" distB="0" distL="114300" distR="114300" simplePos="0" relativeHeight="251657728" behindDoc="0" locked="0" layoutInCell="1" allowOverlap="1">
              <wp:simplePos x="0" y="0"/>
              <wp:positionH relativeFrom="column">
                <wp:posOffset>4523740</wp:posOffset>
              </wp:positionH>
              <wp:positionV relativeFrom="paragraph">
                <wp:posOffset>-218440</wp:posOffset>
              </wp:positionV>
              <wp:extent cx="1826895" cy="1101090"/>
              <wp:effectExtent l="2540" t="0" r="0" b="63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110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02D" w:rsidRDefault="002D7B92">
                          <w:r>
                            <w:rPr>
                              <w:noProof/>
                              <w:lang w:eastAsia="de-DE"/>
                            </w:rPr>
                            <w:drawing>
                              <wp:inline distT="0" distB="0" distL="0" distR="0">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356.2pt;margin-top:-17.15pt;width:143.85pt;height:8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" filled="f" stroked="f">
              <v:textbox inset=",7.2pt,,7.2pt">
                <w:txbxContent>
                  <w:p w:rsidR="0094402D" w:rsidRDefault="002D7B92">
                    <w:r>
                      <w:rPr>
                        <w:noProof/>
                        <w:lang w:eastAsia="de-DE"/>
                      </w:rPr>
                      <w:drawing>
                        <wp:inline distT="0" distB="0" distL="0" distR="0">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24DDA"/>
    <w:multiLevelType w:val="hybridMultilevel"/>
    <w:tmpl w:val="B32E86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2A735CD"/>
    <w:multiLevelType w:val="hybridMultilevel"/>
    <w:tmpl w:val="4B4AD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4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857"/>
    <w:rsid w:val="0000157A"/>
    <w:rsid w:val="000146BE"/>
    <w:rsid w:val="00030FF6"/>
    <w:rsid w:val="00043484"/>
    <w:rsid w:val="00057D88"/>
    <w:rsid w:val="00063361"/>
    <w:rsid w:val="00064EA2"/>
    <w:rsid w:val="00097A97"/>
    <w:rsid w:val="000C24DC"/>
    <w:rsid w:val="000E7834"/>
    <w:rsid w:val="00107587"/>
    <w:rsid w:val="0012123E"/>
    <w:rsid w:val="00123E39"/>
    <w:rsid w:val="00132FC3"/>
    <w:rsid w:val="001522CD"/>
    <w:rsid w:val="001A0071"/>
    <w:rsid w:val="001E5375"/>
    <w:rsid w:val="0021790B"/>
    <w:rsid w:val="0023376F"/>
    <w:rsid w:val="00240858"/>
    <w:rsid w:val="0024146B"/>
    <w:rsid w:val="00246881"/>
    <w:rsid w:val="00255E6E"/>
    <w:rsid w:val="00261C21"/>
    <w:rsid w:val="002657F8"/>
    <w:rsid w:val="00267C1E"/>
    <w:rsid w:val="002A3BBC"/>
    <w:rsid w:val="002B0449"/>
    <w:rsid w:val="002B164B"/>
    <w:rsid w:val="002B3001"/>
    <w:rsid w:val="002B7FE5"/>
    <w:rsid w:val="002C5EAC"/>
    <w:rsid w:val="002D35E1"/>
    <w:rsid w:val="002D3A3D"/>
    <w:rsid w:val="002D617C"/>
    <w:rsid w:val="002D7B92"/>
    <w:rsid w:val="003139CB"/>
    <w:rsid w:val="00330D86"/>
    <w:rsid w:val="003434DB"/>
    <w:rsid w:val="003450E3"/>
    <w:rsid w:val="00355358"/>
    <w:rsid w:val="00356459"/>
    <w:rsid w:val="0036188A"/>
    <w:rsid w:val="00367D77"/>
    <w:rsid w:val="00380BD3"/>
    <w:rsid w:val="00381E7B"/>
    <w:rsid w:val="00387FD4"/>
    <w:rsid w:val="003B10CB"/>
    <w:rsid w:val="003C08E4"/>
    <w:rsid w:val="003D3D0E"/>
    <w:rsid w:val="003E0913"/>
    <w:rsid w:val="003F0E28"/>
    <w:rsid w:val="003F1DCE"/>
    <w:rsid w:val="0040666E"/>
    <w:rsid w:val="00485A12"/>
    <w:rsid w:val="00486CE7"/>
    <w:rsid w:val="004D0A64"/>
    <w:rsid w:val="004F1096"/>
    <w:rsid w:val="005000E7"/>
    <w:rsid w:val="00505DEE"/>
    <w:rsid w:val="005103B9"/>
    <w:rsid w:val="00534563"/>
    <w:rsid w:val="0053456F"/>
    <w:rsid w:val="00535669"/>
    <w:rsid w:val="00553FA0"/>
    <w:rsid w:val="00556001"/>
    <w:rsid w:val="00571FB0"/>
    <w:rsid w:val="00575288"/>
    <w:rsid w:val="005B4F84"/>
    <w:rsid w:val="005B5E4E"/>
    <w:rsid w:val="005B695A"/>
    <w:rsid w:val="005D04DC"/>
    <w:rsid w:val="005D701F"/>
    <w:rsid w:val="005D7122"/>
    <w:rsid w:val="005E385B"/>
    <w:rsid w:val="005F7516"/>
    <w:rsid w:val="006527BF"/>
    <w:rsid w:val="00663512"/>
    <w:rsid w:val="00664CB0"/>
    <w:rsid w:val="00692DE4"/>
    <w:rsid w:val="006A055F"/>
    <w:rsid w:val="006B4946"/>
    <w:rsid w:val="006B67C5"/>
    <w:rsid w:val="006D4FD7"/>
    <w:rsid w:val="006D582F"/>
    <w:rsid w:val="006D626F"/>
    <w:rsid w:val="006F0ECA"/>
    <w:rsid w:val="006F1D26"/>
    <w:rsid w:val="00715BCD"/>
    <w:rsid w:val="00726474"/>
    <w:rsid w:val="00734792"/>
    <w:rsid w:val="00743DD6"/>
    <w:rsid w:val="00754175"/>
    <w:rsid w:val="00775BA0"/>
    <w:rsid w:val="00782546"/>
    <w:rsid w:val="007B2B53"/>
    <w:rsid w:val="007B75DA"/>
    <w:rsid w:val="007C20CE"/>
    <w:rsid w:val="007C554F"/>
    <w:rsid w:val="007C71FD"/>
    <w:rsid w:val="007D5842"/>
    <w:rsid w:val="007D6CE6"/>
    <w:rsid w:val="007D7919"/>
    <w:rsid w:val="007F7C51"/>
    <w:rsid w:val="00813E76"/>
    <w:rsid w:val="00822054"/>
    <w:rsid w:val="00834E24"/>
    <w:rsid w:val="00847B08"/>
    <w:rsid w:val="008761B2"/>
    <w:rsid w:val="008A5323"/>
    <w:rsid w:val="008B4B11"/>
    <w:rsid w:val="008E4942"/>
    <w:rsid w:val="008F6A0E"/>
    <w:rsid w:val="008F6A26"/>
    <w:rsid w:val="00902E24"/>
    <w:rsid w:val="00914405"/>
    <w:rsid w:val="00917200"/>
    <w:rsid w:val="00941CE9"/>
    <w:rsid w:val="00943AE7"/>
    <w:rsid w:val="0094402D"/>
    <w:rsid w:val="00950041"/>
    <w:rsid w:val="00971A51"/>
    <w:rsid w:val="0097422F"/>
    <w:rsid w:val="00975B7F"/>
    <w:rsid w:val="009A1F7C"/>
    <w:rsid w:val="009B1E68"/>
    <w:rsid w:val="009E0642"/>
    <w:rsid w:val="009E0835"/>
    <w:rsid w:val="009E5284"/>
    <w:rsid w:val="00A14397"/>
    <w:rsid w:val="00A34E8D"/>
    <w:rsid w:val="00A41303"/>
    <w:rsid w:val="00A42C37"/>
    <w:rsid w:val="00A53AFB"/>
    <w:rsid w:val="00A71856"/>
    <w:rsid w:val="00A7434A"/>
    <w:rsid w:val="00A76EE6"/>
    <w:rsid w:val="00AA1616"/>
    <w:rsid w:val="00AA293E"/>
    <w:rsid w:val="00AA63F6"/>
    <w:rsid w:val="00AB7889"/>
    <w:rsid w:val="00AC0602"/>
    <w:rsid w:val="00AE4113"/>
    <w:rsid w:val="00AF0608"/>
    <w:rsid w:val="00B00491"/>
    <w:rsid w:val="00B17BA2"/>
    <w:rsid w:val="00B30AF0"/>
    <w:rsid w:val="00B33C2E"/>
    <w:rsid w:val="00B749AC"/>
    <w:rsid w:val="00BA33A3"/>
    <w:rsid w:val="00BA78C7"/>
    <w:rsid w:val="00BE551D"/>
    <w:rsid w:val="00BF1F45"/>
    <w:rsid w:val="00BF6666"/>
    <w:rsid w:val="00C1408C"/>
    <w:rsid w:val="00C24C73"/>
    <w:rsid w:val="00C307A3"/>
    <w:rsid w:val="00C33B31"/>
    <w:rsid w:val="00C655E0"/>
    <w:rsid w:val="00C7232D"/>
    <w:rsid w:val="00CA0239"/>
    <w:rsid w:val="00CA345B"/>
    <w:rsid w:val="00CB5025"/>
    <w:rsid w:val="00CD0907"/>
    <w:rsid w:val="00CD73C2"/>
    <w:rsid w:val="00D170DA"/>
    <w:rsid w:val="00D30D91"/>
    <w:rsid w:val="00D37BAA"/>
    <w:rsid w:val="00D571C2"/>
    <w:rsid w:val="00D71971"/>
    <w:rsid w:val="00D76D49"/>
    <w:rsid w:val="00D90447"/>
    <w:rsid w:val="00D948DC"/>
    <w:rsid w:val="00DA2E38"/>
    <w:rsid w:val="00DB6557"/>
    <w:rsid w:val="00DE176A"/>
    <w:rsid w:val="00DE2609"/>
    <w:rsid w:val="00E267A9"/>
    <w:rsid w:val="00E624DC"/>
    <w:rsid w:val="00E63C8C"/>
    <w:rsid w:val="00E7734B"/>
    <w:rsid w:val="00E90E4D"/>
    <w:rsid w:val="00EA6669"/>
    <w:rsid w:val="00EA722A"/>
    <w:rsid w:val="00EE7A24"/>
    <w:rsid w:val="00EF7609"/>
    <w:rsid w:val="00F020B3"/>
    <w:rsid w:val="00F10404"/>
    <w:rsid w:val="00F22D33"/>
    <w:rsid w:val="00F372DA"/>
    <w:rsid w:val="00F40B44"/>
    <w:rsid w:val="00F40D09"/>
    <w:rsid w:val="00F478E4"/>
    <w:rsid w:val="00F611D2"/>
    <w:rsid w:val="00F74683"/>
    <w:rsid w:val="00F766D5"/>
    <w:rsid w:val="00F9023D"/>
    <w:rsid w:val="00F91EB7"/>
    <w:rsid w:val="00F94E22"/>
    <w:rsid w:val="00FB0AAF"/>
    <w:rsid w:val="00FD664F"/>
    <w:rsid w:val="00FF10FB"/>
  </w:rsids>
  <m:mathPr>
    <m:mathFont m:val="Cambria Math"/>
    <m:brkBin m:val="before"/>
    <m:brkBinSub m:val="--"/>
    <m:smallFrac m:val="0"/>
    <m:dispDef m:val="0"/>
    <m:lMargin m:val="0"/>
    <m:rMargin m:val="0"/>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edna-initiative.de" TargetMode="External"/><Relationship Id="rId9" Type="http://schemas.openxmlformats.org/officeDocument/2006/relationships/hyperlink" Target="http://www.press-n-relation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989</Words>
  <Characters>6233</Characters>
  <Application>Microsoft Macintosh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7208</CharactersWithSpaces>
  <SharedDoc>false</SharedDoc>
  <HLinks>
    <vt:vector size="18" baseType="variant">
      <vt:variant>
        <vt:i4>3211289</vt:i4>
      </vt:variant>
      <vt:variant>
        <vt:i4>3</vt:i4>
      </vt:variant>
      <vt:variant>
        <vt:i4>0</vt:i4>
      </vt:variant>
      <vt:variant>
        <vt:i4>5</vt:i4>
      </vt:variant>
      <vt:variant>
        <vt:lpwstr>http://www.press-n-relations.de</vt:lpwstr>
      </vt:variant>
      <vt:variant>
        <vt:lpwstr/>
      </vt:variant>
      <vt:variant>
        <vt:i4>1966197</vt:i4>
      </vt:variant>
      <vt:variant>
        <vt:i4>0</vt:i4>
      </vt:variant>
      <vt:variant>
        <vt:i4>0</vt:i4>
      </vt:variant>
      <vt:variant>
        <vt:i4>5</vt:i4>
      </vt:variant>
      <vt:variant>
        <vt:lpwstr>http://www.edna-initiative.de</vt:lpwstr>
      </vt:variant>
      <vt:variant>
        <vt:lpwstr/>
      </vt:variant>
      <vt:variant>
        <vt:i4>262250</vt:i4>
      </vt:variant>
      <vt:variant>
        <vt:i4>9288</vt:i4>
      </vt:variant>
      <vt:variant>
        <vt:i4>1025</vt:i4>
      </vt:variant>
      <vt:variant>
        <vt:i4>1</vt:i4>
      </vt:variant>
      <vt:variant>
        <vt:lpwstr>EDN_Logo_2011_4c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2</cp:revision>
  <cp:lastPrinted>2012-11-09T12:58:00Z</cp:lastPrinted>
  <dcterms:created xsi:type="dcterms:W3CDTF">2012-11-28T16:02:00Z</dcterms:created>
  <dcterms:modified xsi:type="dcterms:W3CDTF">2012-11-28T16:02:00Z</dcterms:modified>
</cp:coreProperties>
</file>