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CFC" w:rsidRPr="007058C6" w:rsidRDefault="00D63CFC" w:rsidP="00D63CFC">
      <w:pPr>
        <w:pStyle w:val="berschrift3"/>
        <w:ind w:right="-284"/>
        <w:rPr>
          <w:rFonts w:ascii="Helvetica" w:hAnsi="Helvetica" w:cs="Helvetica"/>
        </w:rPr>
      </w:pPr>
      <w:r>
        <w:rPr>
          <w:rFonts w:ascii="Helvetica" w:hAnsi="Helvetica" w:cs="Helvetica"/>
        </w:rPr>
        <w:t>PRESSEINFORMATION</w:t>
      </w:r>
    </w:p>
    <w:p w:rsidR="00D63CFC" w:rsidRDefault="00D63CFC" w:rsidP="00D63CFC">
      <w:pPr>
        <w:spacing w:line="312" w:lineRule="auto"/>
        <w:ind w:right="-284"/>
        <w:rPr>
          <w:rFonts w:ascii="Helvetica" w:hAnsi="Helvetica" w:cs="Helvetica"/>
          <w:sz w:val="22"/>
        </w:rPr>
      </w:pPr>
      <w:r>
        <w:rPr>
          <w:rFonts w:ascii="Helvetica" w:hAnsi="Helvetica" w:cs="Helvetica"/>
          <w:sz w:val="22"/>
        </w:rPr>
        <w:t>Münster, 5. März 2014</w:t>
      </w:r>
    </w:p>
    <w:p w:rsidR="00D63CFC" w:rsidRDefault="00D63CFC" w:rsidP="00D63CFC">
      <w:pPr>
        <w:spacing w:line="288" w:lineRule="auto"/>
        <w:ind w:right="-283"/>
        <w:rPr>
          <w:rFonts w:ascii="Helvetica" w:hAnsi="Helvetica" w:cs="Helvetica"/>
          <w:b/>
          <w:bCs/>
          <w:sz w:val="28"/>
        </w:rPr>
      </w:pPr>
      <w:bookmarkStart w:id="0" w:name="OLE_LINK3"/>
    </w:p>
    <w:p w:rsidR="00D63CFC" w:rsidRPr="00A3578F" w:rsidRDefault="00D63CFC" w:rsidP="00D63CFC">
      <w:pPr>
        <w:widowControl w:val="0"/>
        <w:spacing w:line="288" w:lineRule="auto"/>
        <w:ind w:right="-567"/>
        <w:rPr>
          <w:rFonts w:ascii="Helvetica" w:hAnsi="Helvetica"/>
          <w:b/>
          <w:sz w:val="28"/>
          <w:lang w:val="de-AT"/>
        </w:rPr>
      </w:pPr>
      <w:r w:rsidRPr="00A3578F">
        <w:rPr>
          <w:rFonts w:ascii="Helvetica" w:hAnsi="Helvetica"/>
          <w:b/>
          <w:sz w:val="28"/>
          <w:lang w:val="de-AT"/>
        </w:rPr>
        <w:t>Technologiewechsel auf der Überholspur</w:t>
      </w:r>
    </w:p>
    <w:p w:rsidR="00D63CFC" w:rsidRPr="00A3578F" w:rsidRDefault="00D63CFC" w:rsidP="00D63CFC">
      <w:pPr>
        <w:tabs>
          <w:tab w:val="left" w:pos="7513"/>
        </w:tabs>
        <w:spacing w:line="288" w:lineRule="auto"/>
        <w:rPr>
          <w:rFonts w:ascii="Helvetica" w:hAnsi="Helvetica" w:cs="Helvetica"/>
          <w:b/>
          <w:bCs/>
          <w:sz w:val="20"/>
        </w:rPr>
      </w:pPr>
      <w:r w:rsidRPr="00A3578F">
        <w:rPr>
          <w:rFonts w:ascii="Helvetica" w:hAnsi="Helvetica" w:cs="Helvetica"/>
          <w:b/>
          <w:bCs/>
          <w:sz w:val="20"/>
        </w:rPr>
        <w:t>Starterpaket Common-Layer[GO] beschleunigt</w:t>
      </w:r>
      <w:r w:rsidR="00F6704B" w:rsidRPr="00A3578F">
        <w:rPr>
          <w:rFonts w:ascii="Helvetica" w:hAnsi="Helvetica" w:cs="Helvetica"/>
          <w:b/>
          <w:bCs/>
          <w:sz w:val="20"/>
        </w:rPr>
        <w:t xml:space="preserve"> die Etablierung einer einheit</w:t>
      </w:r>
      <w:r w:rsidRPr="00A3578F">
        <w:rPr>
          <w:rFonts w:ascii="Helvetica" w:hAnsi="Helvetica" w:cs="Helvetica"/>
          <w:b/>
          <w:bCs/>
          <w:sz w:val="20"/>
        </w:rPr>
        <w:t>lichen und effektiven Nachrichten- und Prozessverarbeitung nach SAP-Standard</w:t>
      </w:r>
    </w:p>
    <w:p w:rsidR="00D63CFC" w:rsidRPr="00A3578F" w:rsidRDefault="00D63CFC" w:rsidP="00D63CFC">
      <w:pPr>
        <w:spacing w:line="288" w:lineRule="auto"/>
        <w:ind w:right="426"/>
        <w:rPr>
          <w:rFonts w:ascii="Helvetica" w:hAnsi="Helvetica" w:cs="Helvetica"/>
          <w:b/>
          <w:bCs/>
          <w:sz w:val="20"/>
        </w:rPr>
      </w:pPr>
    </w:p>
    <w:p w:rsidR="00D63CFC" w:rsidRPr="00A3578F" w:rsidRDefault="00D63CFC" w:rsidP="002315AB">
      <w:pPr>
        <w:tabs>
          <w:tab w:val="left" w:pos="7230"/>
          <w:tab w:val="left" w:pos="7655"/>
        </w:tabs>
        <w:spacing w:line="288" w:lineRule="auto"/>
        <w:ind w:right="567"/>
        <w:rPr>
          <w:rFonts w:ascii="Helvetica" w:hAnsi="Helvetica" w:cs="Helvetica"/>
          <w:b/>
          <w:bCs/>
          <w:sz w:val="20"/>
        </w:rPr>
      </w:pPr>
      <w:r w:rsidRPr="00A3578F">
        <w:rPr>
          <w:rFonts w:ascii="Helvetica" w:hAnsi="Helvetica" w:cs="Helvetica"/>
          <w:b/>
          <w:bCs/>
          <w:sz w:val="20"/>
        </w:rPr>
        <w:t>Mit dem vorkonfigurierten Prozesstemplate Common-Layer[GO] ermöglicht die cronos Unternehmensberatung GmbH deutschen Energieversorgern einen zeit- und aufwandsminimierten Umstieg auf die neue, technische Software-Schicht der SAP. Diese ist nicht nur die Voraussetzung für alle künftigen Support Packages der SAP, sondern bietet darüber hinaus deutlich b</w:t>
      </w:r>
      <w:r w:rsidR="00F6704B" w:rsidRPr="00A3578F">
        <w:rPr>
          <w:rFonts w:ascii="Helvetica" w:hAnsi="Helvetica" w:cs="Helvetica"/>
          <w:b/>
          <w:bCs/>
          <w:sz w:val="20"/>
        </w:rPr>
        <w:t>essere Monitoring- und Klärungs</w:t>
      </w:r>
      <w:r w:rsidRPr="00A3578F">
        <w:rPr>
          <w:rFonts w:ascii="Helvetica" w:hAnsi="Helvetica" w:cs="Helvetica"/>
          <w:b/>
          <w:bCs/>
          <w:sz w:val="20"/>
        </w:rPr>
        <w:t xml:space="preserve">möglichkeiten via BPEM (Business Process Exception Management). Damit die SAP-Anwender innerhalb kürzester Zeit </w:t>
      </w:r>
      <w:r w:rsidRPr="00A3578F">
        <w:rPr>
          <w:rFonts w:ascii="Helvetica" w:hAnsi="Helvetica" w:cs="Helvetica"/>
          <w:b/>
          <w:bCs/>
          <w:spacing w:val="-2"/>
          <w:sz w:val="20"/>
          <w:szCs w:val="20"/>
        </w:rPr>
        <w:t>das Potenzial der neuen Welt der Prozessbearbeitung nutzen können, werden die Schlüsselfunktionalitäten via Transportauftrag im Kundensystem hinterlegt. Innerhalb von nur drei Monaten lassen sich die energiewirtschaftlichen</w:t>
      </w:r>
      <w:r w:rsidRPr="00A3578F">
        <w:rPr>
          <w:rFonts w:ascii="Helvetica" w:hAnsi="Helvetica" w:cs="Helvetica"/>
          <w:b/>
          <w:bCs/>
          <w:sz w:val="20"/>
        </w:rPr>
        <w:t xml:space="preserve"> Kernprozesse Lieferbeginn und Lieferende, Kündigung, Grund- und Ersatzversorgung, A</w:t>
      </w:r>
      <w:r w:rsidR="005041C8" w:rsidRPr="00A3578F">
        <w:rPr>
          <w:rFonts w:ascii="Helvetica" w:hAnsi="Helvetica" w:cs="Helvetica"/>
          <w:b/>
          <w:bCs/>
          <w:sz w:val="20"/>
        </w:rPr>
        <w:t>bmelde</w:t>
      </w:r>
      <w:r w:rsidRPr="00A3578F">
        <w:rPr>
          <w:rFonts w:ascii="Helvetica" w:hAnsi="Helvetica" w:cs="Helvetica"/>
          <w:b/>
          <w:bCs/>
          <w:sz w:val="20"/>
        </w:rPr>
        <w:t>anfrage, Stilllegung sowie das APERAK-Handling über die neue Welt des Common Layer abbilden. Mithilfe zusätzlicher Customizing-Tabellen und User-Exits wird die Überführung der kundenindividuellen Ausprä</w:t>
      </w:r>
      <w:r w:rsidR="00F6704B" w:rsidRPr="00A3578F">
        <w:rPr>
          <w:rFonts w:ascii="Helvetica" w:hAnsi="Helvetica" w:cs="Helvetica"/>
          <w:b/>
          <w:bCs/>
          <w:sz w:val="20"/>
        </w:rPr>
        <w:t>gungen auf die neue Technologie</w:t>
      </w:r>
      <w:r w:rsidRPr="00A3578F">
        <w:rPr>
          <w:rFonts w:ascii="Helvetica" w:hAnsi="Helvetica" w:cs="Helvetica"/>
          <w:b/>
          <w:bCs/>
          <w:sz w:val="20"/>
        </w:rPr>
        <w:t>plattform gewährleistet. Das Star</w:t>
      </w:r>
      <w:r w:rsidR="00F6704B" w:rsidRPr="00A3578F">
        <w:rPr>
          <w:rFonts w:ascii="Helvetica" w:hAnsi="Helvetica" w:cs="Helvetica"/>
          <w:b/>
          <w:bCs/>
          <w:sz w:val="20"/>
        </w:rPr>
        <w:t>terpaket, das neben der Projekt</w:t>
      </w:r>
      <w:r w:rsidRPr="00A3578F">
        <w:rPr>
          <w:rFonts w:ascii="Helvetica" w:hAnsi="Helvetica" w:cs="Helvetica"/>
          <w:b/>
          <w:bCs/>
          <w:sz w:val="20"/>
        </w:rPr>
        <w:t>initialisierung, einem Deltaworkshop und der Implementierung auch Test und Abnahme sowie eine vollständige Dokumentation aus technischer und prozessualer Sicht umfasst, bietet das Beratungshaus seit der E-world 20</w:t>
      </w:r>
      <w:r w:rsidR="00F6704B" w:rsidRPr="00A3578F">
        <w:rPr>
          <w:rFonts w:ascii="Helvetica" w:hAnsi="Helvetica" w:cs="Helvetica"/>
          <w:b/>
          <w:bCs/>
          <w:sz w:val="20"/>
        </w:rPr>
        <w:t xml:space="preserve">14 zum Komplettpreis von 49.900 </w:t>
      </w:r>
      <w:r w:rsidRPr="00A3578F">
        <w:rPr>
          <w:rFonts w:ascii="Helvetica" w:hAnsi="Helvetica" w:cs="Helvetica"/>
          <w:b/>
          <w:bCs/>
          <w:sz w:val="20"/>
        </w:rPr>
        <w:t>Euro zuzüglich Mehrwertsteuer an.</w:t>
      </w:r>
    </w:p>
    <w:p w:rsidR="00D63CFC" w:rsidRPr="00A3578F" w:rsidRDefault="00D63CFC" w:rsidP="002315AB">
      <w:pPr>
        <w:tabs>
          <w:tab w:val="left" w:pos="7230"/>
          <w:tab w:val="left" w:pos="7655"/>
        </w:tabs>
        <w:spacing w:line="288" w:lineRule="auto"/>
        <w:ind w:right="567"/>
        <w:rPr>
          <w:rFonts w:ascii="Helvetica" w:hAnsi="Helvetica" w:cs="Helvetica"/>
          <w:b/>
          <w:bCs/>
          <w:sz w:val="20"/>
        </w:rPr>
      </w:pPr>
    </w:p>
    <w:p w:rsidR="00D63CFC" w:rsidRPr="00A3578F" w:rsidRDefault="00D63CFC" w:rsidP="002315AB">
      <w:pPr>
        <w:tabs>
          <w:tab w:val="left" w:pos="7230"/>
          <w:tab w:val="left" w:pos="7655"/>
        </w:tabs>
        <w:spacing w:line="288" w:lineRule="auto"/>
        <w:ind w:right="567"/>
        <w:rPr>
          <w:rFonts w:ascii="Helvetica" w:hAnsi="Helvetica" w:cs="Helvetica"/>
          <w:bCs/>
          <w:sz w:val="20"/>
        </w:rPr>
      </w:pPr>
      <w:r w:rsidRPr="00A3578F">
        <w:rPr>
          <w:rFonts w:ascii="Helvetica" w:hAnsi="Helvetica" w:cs="Helvetica"/>
          <w:bCs/>
          <w:sz w:val="20"/>
        </w:rPr>
        <w:t>„Unsere E-world-Workshops zu den Themen Common Layer und BPEM sind hinsichtlich der Teilnehmerstärke aus allen Nähten geplatzt“, berichtet Holger Kleier, Bereichsleiter bei der cronos Unternehmensberatung GmbH, und fährt fort: „Über kurz oder lang werden Versorger nicht umhin kommen, sich auf die neue Technologie einzulassen, da alle künftigen SAP-Pakete zur Unterstützung neuer Formate im Rahmen des IDEX-Standards darauf basieren. Wer nicht umstellt, macht sich nur selbst das Leben schwer, zumal Common Layer mit BPEM auch für Fachabteilungen bei der Klärfallbearbeitung klare Vorteile bringt – es profitiert nicht allein die IT.“ Im Rahmen der IDEX-DE-Prozesse und der klassischen Abläufe in den Bereichen Abrechnung, Fakturierung oder Vertragskontokorrent bietet BPEM die Möglichkeit, Fehler im System direkt im Prozess des Entstehens zu identifizieren. Zusätzlichen Nutzen bringt in diesem Zusammenhang BPEM[GO]monitoring als weiteres Add-On von cronos. Dieses umfasst ein intuitives Klärungsfall-Cockpit mit Dispatching-Funktionalität, das die zum jeweiligen Fehlerfall passenden Lösungsschritte automatisch aufzeigt.</w:t>
      </w:r>
    </w:p>
    <w:p w:rsidR="00D63CFC" w:rsidRPr="00A3578F" w:rsidRDefault="00D63CFC" w:rsidP="002315AB">
      <w:pPr>
        <w:tabs>
          <w:tab w:val="left" w:pos="7088"/>
          <w:tab w:val="left" w:pos="7655"/>
        </w:tabs>
        <w:spacing w:line="288" w:lineRule="auto"/>
        <w:ind w:right="709"/>
        <w:rPr>
          <w:rFonts w:ascii="Helvetica" w:hAnsi="Helvetica" w:cs="Helvetica"/>
          <w:bCs/>
          <w:sz w:val="20"/>
        </w:rPr>
      </w:pPr>
    </w:p>
    <w:p w:rsidR="00D63CFC" w:rsidRPr="00A3578F" w:rsidRDefault="00D63CFC" w:rsidP="002315AB">
      <w:pPr>
        <w:tabs>
          <w:tab w:val="left" w:pos="7088"/>
          <w:tab w:val="left" w:pos="7655"/>
        </w:tabs>
        <w:spacing w:line="288" w:lineRule="auto"/>
        <w:ind w:right="709"/>
        <w:rPr>
          <w:rFonts w:ascii="Helvetica" w:hAnsi="Helvetica" w:cs="Helvetica"/>
          <w:b/>
          <w:bCs/>
          <w:sz w:val="20"/>
        </w:rPr>
      </w:pPr>
    </w:p>
    <w:p w:rsidR="002315AB" w:rsidRPr="00A3578F" w:rsidRDefault="002315AB" w:rsidP="002315AB">
      <w:pPr>
        <w:tabs>
          <w:tab w:val="left" w:pos="7088"/>
          <w:tab w:val="left" w:pos="7655"/>
        </w:tabs>
        <w:spacing w:line="288" w:lineRule="auto"/>
        <w:ind w:right="709"/>
        <w:rPr>
          <w:rFonts w:ascii="Helvetica" w:hAnsi="Helvetica" w:cs="Helvetica"/>
          <w:b/>
          <w:bCs/>
          <w:sz w:val="20"/>
        </w:rPr>
      </w:pPr>
    </w:p>
    <w:p w:rsidR="002315AB" w:rsidRPr="00A3578F" w:rsidRDefault="002315AB" w:rsidP="002315AB">
      <w:pPr>
        <w:tabs>
          <w:tab w:val="left" w:pos="7088"/>
          <w:tab w:val="left" w:pos="7655"/>
        </w:tabs>
        <w:spacing w:line="288" w:lineRule="auto"/>
        <w:ind w:right="709"/>
        <w:rPr>
          <w:rFonts w:ascii="Helvetica" w:hAnsi="Helvetica" w:cs="Helvetica"/>
          <w:b/>
          <w:bCs/>
          <w:sz w:val="20"/>
        </w:rPr>
      </w:pPr>
    </w:p>
    <w:p w:rsidR="00D63CFC" w:rsidRPr="00A3578F" w:rsidRDefault="002315AB" w:rsidP="002315AB">
      <w:pPr>
        <w:tabs>
          <w:tab w:val="left" w:pos="7230"/>
          <w:tab w:val="left" w:pos="7655"/>
        </w:tabs>
        <w:spacing w:line="288" w:lineRule="auto"/>
        <w:ind w:right="567"/>
        <w:rPr>
          <w:rFonts w:ascii="Helvetica" w:hAnsi="Helvetica" w:cs="Helvetica"/>
          <w:b/>
          <w:bCs/>
          <w:sz w:val="20"/>
        </w:rPr>
      </w:pPr>
      <w:r w:rsidRPr="00A3578F">
        <w:rPr>
          <w:rFonts w:ascii="Helvetica" w:hAnsi="Helvetica" w:cs="Helvetica"/>
          <w:b/>
          <w:bCs/>
          <w:sz w:val="20"/>
        </w:rPr>
        <w:t>G</w:t>
      </w:r>
      <w:r w:rsidR="00D63CFC" w:rsidRPr="00A3578F">
        <w:rPr>
          <w:rFonts w:ascii="Helvetica" w:hAnsi="Helvetica" w:cs="Helvetica"/>
          <w:b/>
          <w:bCs/>
          <w:sz w:val="20"/>
        </w:rPr>
        <w:t>ebündelte Expertise</w:t>
      </w:r>
    </w:p>
    <w:p w:rsidR="00D63CFC" w:rsidRPr="00A3578F" w:rsidRDefault="00D63CFC" w:rsidP="002315AB">
      <w:pPr>
        <w:tabs>
          <w:tab w:val="left" w:pos="7230"/>
          <w:tab w:val="left" w:pos="7655"/>
        </w:tabs>
        <w:spacing w:line="288" w:lineRule="auto"/>
        <w:ind w:right="567"/>
        <w:rPr>
          <w:rFonts w:ascii="Helvetica" w:hAnsi="Helvetica" w:cs="Helvetica"/>
          <w:bCs/>
          <w:sz w:val="20"/>
        </w:rPr>
      </w:pPr>
      <w:r w:rsidRPr="00A3578F">
        <w:rPr>
          <w:rFonts w:ascii="Helvetica" w:hAnsi="Helvetica" w:cs="Helvetica"/>
          <w:bCs/>
          <w:sz w:val="20"/>
        </w:rPr>
        <w:t xml:space="preserve">In das Starterpaket Common-Layer[GO] sind die Erfahrungen verschiedener Einführungsprojekte des gesamten cronos-Teams geflossen. Die Implementierung – vom Einspielen des initialen Transports über das Basis-Customizing bis hin zur Umsetzung der kundenspezifischen Anforderungen – wurde mit einem kleinen Entwicklerteam bereits bei mehreren Kunden innerhalb weniger Wochen abgeschlossen. Es zeigte sich, dass Neuentwicklungen und Übernahmen von alten Programmierungen schnell und unabhängig voneinander umgesetzt werden konnten. Der modulare Aufbau des Prüfframeworks erwies sich als zielführender als eine rein Workflow-basierte Lösung, die sehr komplexe und voneinander abhängige </w:t>
      </w:r>
      <w:r w:rsidRPr="00A3578F">
        <w:rPr>
          <w:rFonts w:ascii="Helvetica" w:hAnsi="Helvetica" w:cs="Helvetica"/>
          <w:spacing w:val="-2"/>
          <w:sz w:val="20"/>
          <w:szCs w:val="20"/>
        </w:rPr>
        <w:t>Aufgaben und Datenflusseinstellungen benötigt. Da auf SAP-Standardfunktionalitäten</w:t>
      </w:r>
      <w:r w:rsidRPr="00A3578F">
        <w:rPr>
          <w:rFonts w:ascii="Helvetica" w:hAnsi="Helvetica" w:cs="Helvetica"/>
          <w:bCs/>
          <w:sz w:val="20"/>
        </w:rPr>
        <w:t xml:space="preserve"> aufgesetzt wird, können künftige SAP-Auslieferungen problemlos eingespielt und genutzt werden.</w:t>
      </w:r>
    </w:p>
    <w:p w:rsidR="00D63CFC" w:rsidRPr="00A3578F" w:rsidRDefault="00D63CFC" w:rsidP="002315AB">
      <w:pPr>
        <w:tabs>
          <w:tab w:val="left" w:pos="7230"/>
          <w:tab w:val="left" w:pos="7655"/>
        </w:tabs>
        <w:spacing w:line="288" w:lineRule="auto"/>
        <w:ind w:right="567"/>
        <w:rPr>
          <w:rFonts w:ascii="Helvetica" w:hAnsi="Helvetica" w:cs="Helvetica"/>
          <w:bCs/>
          <w:sz w:val="20"/>
        </w:rPr>
      </w:pPr>
    </w:p>
    <w:p w:rsidR="00D63CFC" w:rsidRDefault="00D63CFC" w:rsidP="002315AB">
      <w:pPr>
        <w:tabs>
          <w:tab w:val="left" w:pos="7230"/>
          <w:tab w:val="left" w:pos="7655"/>
        </w:tabs>
        <w:spacing w:line="288" w:lineRule="auto"/>
        <w:ind w:right="567"/>
        <w:rPr>
          <w:rFonts w:ascii="Helvetica" w:hAnsi="Helvetica" w:cs="Helvetica"/>
          <w:bCs/>
          <w:sz w:val="20"/>
        </w:rPr>
      </w:pPr>
      <w:r w:rsidRPr="00A3578F">
        <w:rPr>
          <w:rFonts w:ascii="Helvetica" w:hAnsi="Helvetica" w:cs="Helvetica"/>
          <w:bCs/>
          <w:sz w:val="20"/>
        </w:rPr>
        <w:t xml:space="preserve">Inzwischen arbeiten die ersten Anwender auf Basis des cronos-Ansatzes mit dem SAP Common Layer produktiv und Holger Kleier sieht sich hinsichtlich der </w:t>
      </w:r>
      <w:r w:rsidR="00CE3937" w:rsidRPr="00A3578F">
        <w:rPr>
          <w:rFonts w:ascii="Helvetica" w:hAnsi="Helvetica" w:cs="Helvetica"/>
          <w:bCs/>
          <w:sz w:val="20"/>
        </w:rPr>
        <w:t>Ziel</w:t>
      </w:r>
      <w:r w:rsidRPr="00A3578F">
        <w:rPr>
          <w:rFonts w:ascii="Helvetica" w:hAnsi="Helvetica" w:cs="Helvetica"/>
          <w:bCs/>
          <w:sz w:val="20"/>
        </w:rPr>
        <w:t>stellung klar bestätigt: „Die abgeschlossenen und laufenden Projekte zeigen, dass wir mit unserem Template genau ins Schwarze getroffen haben. Die Kunden sparen Geld, Zeit und Ressourcen. Andere im Markt propagierte Vorgehensweisen, die auf eine stufenweise Umstellung durch ein Datenmapping auf alte Wechselbelegstrukturen setz</w:t>
      </w:r>
      <w:r w:rsidR="00F6704B" w:rsidRPr="00A3578F">
        <w:rPr>
          <w:rFonts w:ascii="Helvetica" w:hAnsi="Helvetica" w:cs="Helvetica"/>
          <w:bCs/>
          <w:sz w:val="20"/>
        </w:rPr>
        <w:t xml:space="preserve">en, sind für </w:t>
      </w:r>
      <w:r w:rsidR="008323A2" w:rsidRPr="00A3578F">
        <w:rPr>
          <w:rFonts w:ascii="Helvetica" w:hAnsi="Helvetica" w:cs="Helvetica"/>
          <w:bCs/>
          <w:sz w:val="20"/>
        </w:rPr>
        <w:t>V</w:t>
      </w:r>
      <w:r w:rsidR="00F6704B" w:rsidRPr="00A3578F">
        <w:rPr>
          <w:rFonts w:ascii="Helvetica" w:hAnsi="Helvetica" w:cs="Helvetica"/>
          <w:bCs/>
          <w:sz w:val="20"/>
        </w:rPr>
        <w:t>ersorgungs</w:t>
      </w:r>
      <w:r w:rsidR="00CE3937" w:rsidRPr="00A3578F">
        <w:rPr>
          <w:rFonts w:ascii="Helvetica" w:hAnsi="Helvetica" w:cs="Helvetica"/>
          <w:bCs/>
          <w:sz w:val="20"/>
        </w:rPr>
        <w:softHyphen/>
        <w:t>unter</w:t>
      </w:r>
      <w:r w:rsidRPr="00A3578F">
        <w:rPr>
          <w:rFonts w:ascii="Helvetica" w:hAnsi="Helvetica" w:cs="Helvetica"/>
          <w:bCs/>
          <w:sz w:val="20"/>
        </w:rPr>
        <w:t>nehmen</w:t>
      </w:r>
      <w:r w:rsidR="00CE3937" w:rsidRPr="00A3578F">
        <w:rPr>
          <w:rFonts w:ascii="Helvetica" w:hAnsi="Helvetica" w:cs="Helvetica"/>
          <w:bCs/>
          <w:sz w:val="20"/>
        </w:rPr>
        <w:t xml:space="preserve"> </w:t>
      </w:r>
      <w:r w:rsidRPr="00A3578F">
        <w:rPr>
          <w:rFonts w:ascii="Helvetica" w:hAnsi="Helvetica" w:cs="Helvetica"/>
          <w:bCs/>
          <w:sz w:val="20"/>
        </w:rPr>
        <w:t>demgegenüber reine Aufwandstreiber. Anwendern entgeht dabei jeder Nutzen, den die neue Technologie und Rückführung auf den SAP-Standard mit sich bringt.“ Die Effizienz des Templates Common-Layer[GO] stellen die Berater von cronos daher nicht nur im Rahmen einer Live-Demo gerne unter Beweis. Darüber hinaus bieten sie interessiert</w:t>
      </w:r>
      <w:r w:rsidR="00CE3937" w:rsidRPr="00A3578F">
        <w:rPr>
          <w:rFonts w:ascii="Helvetica" w:hAnsi="Helvetica" w:cs="Helvetica"/>
          <w:bCs/>
          <w:sz w:val="20"/>
        </w:rPr>
        <w:t xml:space="preserve">en Versorgern </w:t>
      </w:r>
      <w:r w:rsidRPr="00A3578F">
        <w:rPr>
          <w:rFonts w:ascii="Helvetica" w:hAnsi="Helvetica" w:cs="Helvetica"/>
          <w:bCs/>
          <w:sz w:val="20"/>
        </w:rPr>
        <w:t xml:space="preserve">auch die Möglichkeit, Referenzkunden zu besuchen, um sich ein Bild vom Produktivbetrieb zu </w:t>
      </w:r>
      <w:r w:rsidR="00E77B5B" w:rsidRPr="00A3578F">
        <w:rPr>
          <w:rFonts w:ascii="Helvetica" w:hAnsi="Helvetica" w:cs="Helvetica"/>
          <w:bCs/>
          <w:sz w:val="20"/>
        </w:rPr>
        <w:t>machen</w:t>
      </w:r>
      <w:r w:rsidRPr="00A3578F">
        <w:rPr>
          <w:rFonts w:ascii="Helvetica" w:hAnsi="Helvetica" w:cs="Helvetica"/>
          <w:bCs/>
          <w:sz w:val="20"/>
        </w:rPr>
        <w:t xml:space="preserve"> und Erfahrungen zu hinterfragen.</w:t>
      </w:r>
    </w:p>
    <w:p w:rsidR="00D63CFC" w:rsidRDefault="00D63CFC" w:rsidP="00D63CFC">
      <w:pPr>
        <w:spacing w:line="288" w:lineRule="auto"/>
        <w:ind w:right="23"/>
        <w:rPr>
          <w:rFonts w:ascii="Helvetica" w:hAnsi="Helvetica" w:cs="Helvetica"/>
          <w:sz w:val="20"/>
        </w:rPr>
      </w:pPr>
      <w:bookmarkStart w:id="1" w:name="OLE_LINK2"/>
      <w:bookmarkEnd w:id="0"/>
    </w:p>
    <w:tbl>
      <w:tblPr>
        <w:tblW w:w="8897" w:type="dxa"/>
        <w:tblInd w:w="-38" w:type="dxa"/>
        <w:tblLayout w:type="fixed"/>
        <w:tblCellMar>
          <w:left w:w="70" w:type="dxa"/>
          <w:right w:w="70" w:type="dxa"/>
        </w:tblCellMar>
        <w:tblLook w:val="00BF"/>
      </w:tblPr>
      <w:tblGrid>
        <w:gridCol w:w="2660"/>
        <w:gridCol w:w="2835"/>
        <w:gridCol w:w="3402"/>
      </w:tblGrid>
      <w:tr w:rsidR="00D63CFC" w:rsidRPr="00DF08D5">
        <w:trPr>
          <w:trHeight w:val="734"/>
        </w:trPr>
        <w:tc>
          <w:tcPr>
            <w:tcW w:w="2660" w:type="dxa"/>
          </w:tcPr>
          <w:p w:rsidR="00D63CFC" w:rsidRPr="002D6652" w:rsidRDefault="002315AB" w:rsidP="00D63CFC">
            <w:pPr>
              <w:pStyle w:val="Kopfzeile"/>
              <w:rPr>
                <w:rFonts w:cs="Helvetica"/>
                <w:sz w:val="20"/>
                <w:szCs w:val="22"/>
              </w:rPr>
            </w:pPr>
            <w:r>
              <w:rPr>
                <w:rFonts w:cs="Helvetica"/>
                <w:noProof/>
                <w:sz w:val="20"/>
                <w:szCs w:val="22"/>
              </w:rPr>
              <w:drawing>
                <wp:inline distT="0" distB="0" distL="0" distR="0">
                  <wp:extent cx="1208792" cy="617827"/>
                  <wp:effectExtent l="25400" t="0" r="10408" b="0"/>
                  <wp:docPr id="3" name="Bild 2" descr="Unbenan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benannt.jpg"/>
                          <pic:cNvPicPr/>
                        </pic:nvPicPr>
                        <pic:blipFill>
                          <a:blip r:embed="rId7"/>
                          <a:stretch>
                            <a:fillRect/>
                          </a:stretch>
                        </pic:blipFill>
                        <pic:spPr>
                          <a:xfrm>
                            <a:off x="0" y="0"/>
                            <a:ext cx="1212074" cy="619505"/>
                          </a:xfrm>
                          <a:prstGeom prst="rect">
                            <a:avLst/>
                          </a:prstGeom>
                        </pic:spPr>
                      </pic:pic>
                    </a:graphicData>
                  </a:graphic>
                </wp:inline>
              </w:drawing>
            </w:r>
          </w:p>
        </w:tc>
        <w:tc>
          <w:tcPr>
            <w:tcW w:w="2835" w:type="dxa"/>
          </w:tcPr>
          <w:p w:rsidR="00D63CFC" w:rsidRPr="002D6652" w:rsidRDefault="00B527E9" w:rsidP="002315AB">
            <w:pPr>
              <w:pStyle w:val="Kopfzeile"/>
              <w:rPr>
                <w:rFonts w:cs="Helvetica"/>
                <w:sz w:val="20"/>
                <w:szCs w:val="22"/>
              </w:rPr>
            </w:pPr>
            <w:r>
              <w:rPr>
                <w:rFonts w:cs="Helvetica"/>
                <w:noProof/>
                <w:sz w:val="20"/>
                <w:szCs w:val="22"/>
              </w:rPr>
              <w:drawing>
                <wp:inline distT="0" distB="0" distL="0" distR="0">
                  <wp:extent cx="1300480" cy="601980"/>
                  <wp:effectExtent l="25400" t="0" r="0" b="0"/>
                  <wp:docPr id="2" name="Bild 1" descr="CRO_BPEM[GO]monitoring_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_BPEM[GO]monitoring_klein"/>
                          <pic:cNvPicPr>
                            <a:picLocks noChangeAspect="1" noChangeArrowheads="1"/>
                          </pic:cNvPicPr>
                        </pic:nvPicPr>
                        <pic:blipFill>
                          <a:blip r:embed="rId8"/>
                          <a:srcRect/>
                          <a:stretch>
                            <a:fillRect/>
                          </a:stretch>
                        </pic:blipFill>
                        <pic:spPr bwMode="auto">
                          <a:xfrm>
                            <a:off x="0" y="0"/>
                            <a:ext cx="1300480" cy="601980"/>
                          </a:xfrm>
                          <a:prstGeom prst="rect">
                            <a:avLst/>
                          </a:prstGeom>
                          <a:noFill/>
                          <a:ln w="9525">
                            <a:noFill/>
                            <a:miter lim="800000"/>
                            <a:headEnd/>
                            <a:tailEnd/>
                          </a:ln>
                        </pic:spPr>
                      </pic:pic>
                    </a:graphicData>
                  </a:graphic>
                </wp:inline>
              </w:drawing>
            </w:r>
          </w:p>
        </w:tc>
        <w:tc>
          <w:tcPr>
            <w:tcW w:w="3402" w:type="dxa"/>
            <w:vMerge w:val="restart"/>
          </w:tcPr>
          <w:p w:rsidR="00D63CFC" w:rsidRPr="0070123D" w:rsidRDefault="00D63CFC" w:rsidP="00D63CFC">
            <w:pPr>
              <w:spacing w:line="288" w:lineRule="auto"/>
              <w:ind w:right="23"/>
              <w:rPr>
                <w:rFonts w:ascii="Helvetica" w:hAnsi="Helvetica"/>
                <w:sz w:val="18"/>
                <w:szCs w:val="18"/>
              </w:rPr>
            </w:pPr>
            <w:r w:rsidRPr="0070123D">
              <w:rPr>
                <w:rFonts w:ascii="Helvetica" w:hAnsi="Helvetica"/>
                <w:sz w:val="18"/>
                <w:szCs w:val="18"/>
              </w:rPr>
              <w:t>Das Bildmaterial in druckfähiger Auflösung steht unter dem Stichwort "</w:t>
            </w:r>
            <w:r w:rsidRPr="0070123D">
              <w:rPr>
                <w:rFonts w:ascii="Helvetica" w:hAnsi="Helvetica" w:cs="Helvetica"/>
                <w:bCs/>
                <w:sz w:val="18"/>
                <w:szCs w:val="18"/>
              </w:rPr>
              <w:t>Common-Layer[GO]</w:t>
            </w:r>
            <w:r w:rsidRPr="0070123D">
              <w:rPr>
                <w:rFonts w:ascii="Helvetica" w:hAnsi="Helvetica"/>
                <w:sz w:val="18"/>
                <w:szCs w:val="18"/>
              </w:rPr>
              <w:t>" in unserem Medienportal (</w:t>
            </w:r>
            <w:hyperlink r:id="rId9" w:history="1">
              <w:r w:rsidRPr="00D86A00">
                <w:rPr>
                  <w:rFonts w:ascii="Helvetica" w:hAnsi="Helvetica"/>
                  <w:sz w:val="18"/>
                  <w:szCs w:val="18"/>
                </w:rPr>
                <w:t>http://amid-pr.press-n-relations.com</w:t>
              </w:r>
            </w:hyperlink>
            <w:r w:rsidRPr="0070123D">
              <w:rPr>
                <w:rFonts w:ascii="Helvetica" w:hAnsi="Helvetica"/>
                <w:sz w:val="18"/>
                <w:szCs w:val="18"/>
              </w:rPr>
              <w:t>)</w:t>
            </w:r>
            <w:r>
              <w:rPr>
                <w:rFonts w:ascii="Helvetica" w:hAnsi="Helvetica"/>
                <w:sz w:val="18"/>
                <w:szCs w:val="18"/>
              </w:rPr>
              <w:t xml:space="preserve"> </w:t>
            </w:r>
            <w:r w:rsidRPr="0070123D">
              <w:rPr>
                <w:rFonts w:ascii="Helvetica" w:hAnsi="Helvetica"/>
                <w:sz w:val="18"/>
                <w:szCs w:val="18"/>
              </w:rPr>
              <w:t>zum Download bereit. </w:t>
            </w:r>
          </w:p>
        </w:tc>
      </w:tr>
      <w:tr w:rsidR="00D63CFC" w:rsidRPr="00DF08D5">
        <w:trPr>
          <w:trHeight w:val="349"/>
        </w:trPr>
        <w:tc>
          <w:tcPr>
            <w:tcW w:w="2660" w:type="dxa"/>
          </w:tcPr>
          <w:p w:rsidR="00D63CFC" w:rsidRPr="003D3DAC" w:rsidRDefault="00D63CFC" w:rsidP="00D63CFC">
            <w:pPr>
              <w:pStyle w:val="Kopfzeile"/>
              <w:spacing w:line="240" w:lineRule="auto"/>
              <w:rPr>
                <w:rFonts w:cs="Helvetica"/>
                <w:sz w:val="18"/>
                <w:szCs w:val="22"/>
              </w:rPr>
            </w:pPr>
            <w:r>
              <w:rPr>
                <w:rFonts w:cs="Helvetica"/>
                <w:sz w:val="18"/>
                <w:szCs w:val="22"/>
              </w:rPr>
              <w:t>Common Layer</w:t>
            </w:r>
            <w:r w:rsidR="002B7A0F">
              <w:rPr>
                <w:rFonts w:cs="Helvetica"/>
                <w:sz w:val="18"/>
                <w:szCs w:val="22"/>
              </w:rPr>
              <w:t xml:space="preserve">: </w:t>
            </w:r>
            <w:r w:rsidR="002B7A0F" w:rsidRPr="002B7A0F">
              <w:rPr>
                <w:rFonts w:cs="Helvetica"/>
                <w:sz w:val="18"/>
                <w:szCs w:val="22"/>
              </w:rPr>
              <w:t>Einstellungen zur Prozesskonfiguration</w:t>
            </w:r>
          </w:p>
        </w:tc>
        <w:tc>
          <w:tcPr>
            <w:tcW w:w="2835" w:type="dxa"/>
          </w:tcPr>
          <w:p w:rsidR="00FA1AB1" w:rsidRDefault="00D63CFC" w:rsidP="00D63CFC">
            <w:pPr>
              <w:pStyle w:val="Kopfzeile"/>
              <w:spacing w:line="240" w:lineRule="auto"/>
              <w:rPr>
                <w:rFonts w:cs="Helvetica"/>
                <w:bCs/>
                <w:sz w:val="18"/>
              </w:rPr>
            </w:pPr>
            <w:r w:rsidRPr="003D3DAC">
              <w:rPr>
                <w:rFonts w:cs="Helvetica"/>
                <w:bCs/>
                <w:sz w:val="18"/>
              </w:rPr>
              <w:t xml:space="preserve">Mit BPEM[GO]monitoring alles </w:t>
            </w:r>
          </w:p>
          <w:p w:rsidR="00D63CFC" w:rsidRPr="003D3DAC" w:rsidRDefault="00D63CFC" w:rsidP="00D63CFC">
            <w:pPr>
              <w:pStyle w:val="Kopfzeile"/>
              <w:spacing w:line="240" w:lineRule="auto"/>
              <w:rPr>
                <w:rFonts w:cs="Helvetica"/>
                <w:sz w:val="18"/>
                <w:szCs w:val="22"/>
              </w:rPr>
            </w:pPr>
            <w:r w:rsidRPr="003D3DAC">
              <w:rPr>
                <w:rFonts w:cs="Helvetica"/>
                <w:bCs/>
                <w:sz w:val="18"/>
              </w:rPr>
              <w:t>im Blick: Anwendersicht zur Klärungsfallbearbeitung</w:t>
            </w:r>
          </w:p>
        </w:tc>
        <w:tc>
          <w:tcPr>
            <w:tcW w:w="3402" w:type="dxa"/>
            <w:vMerge/>
          </w:tcPr>
          <w:p w:rsidR="00D63CFC" w:rsidRPr="002D6652" w:rsidRDefault="00D63CFC" w:rsidP="00D63CFC">
            <w:pPr>
              <w:pStyle w:val="Kopfzeile"/>
              <w:rPr>
                <w:rFonts w:cs="Helvetica"/>
                <w:sz w:val="16"/>
                <w:szCs w:val="22"/>
              </w:rPr>
            </w:pPr>
          </w:p>
        </w:tc>
      </w:tr>
      <w:bookmarkEnd w:id="1"/>
    </w:tbl>
    <w:p w:rsidR="00D63CFC" w:rsidRPr="00C904EB" w:rsidRDefault="00D63CFC" w:rsidP="00D63CFC">
      <w:pPr>
        <w:spacing w:line="312" w:lineRule="auto"/>
        <w:ind w:right="23"/>
        <w:rPr>
          <w:rFonts w:ascii="Helvetica" w:hAnsi="Helvetica"/>
          <w:sz w:val="20"/>
        </w:rPr>
      </w:pPr>
    </w:p>
    <w:tbl>
      <w:tblPr>
        <w:tblW w:w="9284" w:type="dxa"/>
        <w:tblCellMar>
          <w:left w:w="70" w:type="dxa"/>
          <w:right w:w="70" w:type="dxa"/>
        </w:tblCellMar>
        <w:tblLook w:val="0000"/>
      </w:tblPr>
      <w:tblGrid>
        <w:gridCol w:w="4606"/>
        <w:gridCol w:w="4678"/>
      </w:tblGrid>
      <w:tr w:rsidR="00D63CFC" w:rsidRPr="00F6704B">
        <w:tc>
          <w:tcPr>
            <w:tcW w:w="4606" w:type="dxa"/>
            <w:tcBorders>
              <w:top w:val="nil"/>
              <w:left w:val="nil"/>
              <w:bottom w:val="nil"/>
              <w:right w:val="nil"/>
            </w:tcBorders>
          </w:tcPr>
          <w:p w:rsidR="00D63CFC" w:rsidRPr="002D6652" w:rsidRDefault="00D63CFC" w:rsidP="00D63CFC">
            <w:pPr>
              <w:pStyle w:val="berschrift5"/>
              <w:spacing w:line="240" w:lineRule="auto"/>
              <w:ind w:right="-70"/>
              <w:rPr>
                <w:rFonts w:cs="Helvetica"/>
                <w:i w:val="0"/>
                <w:iCs w:val="0"/>
                <w:szCs w:val="18"/>
              </w:rPr>
            </w:pPr>
            <w:r w:rsidRPr="002D6652">
              <w:rPr>
                <w:rFonts w:cs="Helvetica"/>
                <w:i w:val="0"/>
                <w:iCs w:val="0"/>
                <w:szCs w:val="18"/>
              </w:rPr>
              <w:t>Weitere Informationen:</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cronos Unternehmensberatung GmbH, Anja Ziegler</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 xml:space="preserve">Weseler Straße 539 – 48163 Münster </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 xml:space="preserve">Tel.: +49 251 39966-122  </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Fax: +49 251 39966-9122</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a.ziegler@cronos.de</w:t>
            </w:r>
          </w:p>
          <w:p w:rsidR="00D63CFC" w:rsidRPr="002D6652" w:rsidRDefault="00D63CFC" w:rsidP="00D63CFC">
            <w:pPr>
              <w:pStyle w:val="berschrift5"/>
              <w:spacing w:line="240" w:lineRule="auto"/>
              <w:ind w:right="-70"/>
              <w:rPr>
                <w:rFonts w:cs="Helvetica"/>
                <w:b w:val="0"/>
                <w:bCs w:val="0"/>
                <w:i w:val="0"/>
                <w:iCs w:val="0"/>
                <w:szCs w:val="18"/>
              </w:rPr>
            </w:pPr>
            <w:r w:rsidRPr="002D6652">
              <w:rPr>
                <w:rFonts w:cs="Helvetica"/>
                <w:b w:val="0"/>
                <w:bCs w:val="0"/>
                <w:i w:val="0"/>
                <w:iCs w:val="0"/>
                <w:szCs w:val="18"/>
              </w:rPr>
              <w:t>www.cronos.de</w:t>
            </w:r>
          </w:p>
        </w:tc>
        <w:tc>
          <w:tcPr>
            <w:tcW w:w="4678" w:type="dxa"/>
            <w:tcBorders>
              <w:top w:val="nil"/>
              <w:left w:val="nil"/>
              <w:bottom w:val="nil"/>
              <w:right w:val="nil"/>
            </w:tcBorders>
          </w:tcPr>
          <w:p w:rsidR="00D63CFC" w:rsidRDefault="00D63CFC" w:rsidP="00D63CFC">
            <w:pPr>
              <w:widowControl w:val="0"/>
              <w:ind w:right="-1238"/>
              <w:rPr>
                <w:rFonts w:ascii="Helvetica" w:hAnsi="Helvetica"/>
                <w:b/>
                <w:color w:val="000000"/>
                <w:sz w:val="18"/>
              </w:rPr>
            </w:pPr>
            <w:r>
              <w:rPr>
                <w:rFonts w:ascii="Helvetica" w:hAnsi="Helvetica"/>
                <w:b/>
                <w:color w:val="000000"/>
                <w:sz w:val="18"/>
              </w:rPr>
              <w:t>Presse- und Öffentlichkeitsarbeit:</w:t>
            </w:r>
          </w:p>
          <w:p w:rsidR="00D63CFC" w:rsidRDefault="00D63CFC" w:rsidP="00D63CFC">
            <w:pPr>
              <w:ind w:right="-1238"/>
              <w:rPr>
                <w:rFonts w:ascii="Helvetica" w:hAnsi="Helvetica"/>
                <w:color w:val="000000"/>
                <w:sz w:val="18"/>
              </w:rPr>
            </w:pPr>
            <w:r>
              <w:rPr>
                <w:rFonts w:ascii="Helvetica" w:hAnsi="Helvetica"/>
                <w:color w:val="000000"/>
                <w:sz w:val="18"/>
              </w:rPr>
              <w:t xml:space="preserve">Press’n’Relations GmbH, Rebecca Hasert </w:t>
            </w:r>
          </w:p>
          <w:p w:rsidR="00D63CFC" w:rsidRDefault="00D63CFC" w:rsidP="00D63CFC">
            <w:pPr>
              <w:ind w:right="-1238"/>
              <w:rPr>
                <w:rFonts w:ascii="Helvetica" w:hAnsi="Helvetica"/>
                <w:color w:val="000000"/>
                <w:sz w:val="18"/>
                <w:lang w:val="it-IT"/>
              </w:rPr>
            </w:pPr>
            <w:r>
              <w:rPr>
                <w:rFonts w:ascii="Helvetica" w:hAnsi="Helvetica"/>
                <w:color w:val="000000"/>
                <w:sz w:val="18"/>
                <w:lang w:val="it-IT"/>
              </w:rPr>
              <w:t>Magirusstraße 33, D-89077 Ulm</w:t>
            </w:r>
          </w:p>
          <w:p w:rsidR="00D63CFC" w:rsidRPr="007037E0" w:rsidRDefault="00D63CFC" w:rsidP="00D63CFC">
            <w:pPr>
              <w:pStyle w:val="Sprechblasentext"/>
              <w:ind w:right="-1238"/>
              <w:rPr>
                <w:rFonts w:ascii="Helvetica" w:hAnsi="Helvetica"/>
                <w:color w:val="000000"/>
                <w:szCs w:val="18"/>
                <w:lang w:val="it-IT"/>
              </w:rPr>
            </w:pPr>
            <w:r w:rsidRPr="007037E0">
              <w:rPr>
                <w:rFonts w:ascii="Helvetica" w:hAnsi="Helvetica"/>
                <w:color w:val="000000"/>
                <w:szCs w:val="18"/>
                <w:lang w:val="it-IT"/>
              </w:rPr>
              <w:t xml:space="preserve">Tel.: +49 731 96 287-15 </w:t>
            </w:r>
          </w:p>
          <w:p w:rsidR="00D63CFC" w:rsidRPr="007037E0" w:rsidRDefault="00D63CFC" w:rsidP="00D63CFC">
            <w:pPr>
              <w:pStyle w:val="Sprechblasentext"/>
              <w:ind w:right="-113"/>
              <w:rPr>
                <w:rFonts w:ascii="Helvetica" w:hAnsi="Helvetica"/>
                <w:color w:val="000000"/>
                <w:szCs w:val="18"/>
                <w:lang w:val="it-IT"/>
              </w:rPr>
            </w:pPr>
            <w:r w:rsidRPr="007037E0">
              <w:rPr>
                <w:rFonts w:ascii="Helvetica" w:hAnsi="Helvetica"/>
                <w:color w:val="000000"/>
                <w:szCs w:val="18"/>
                <w:lang w:val="it-IT"/>
              </w:rPr>
              <w:t>Fax: +49 731 96 287-97</w:t>
            </w:r>
          </w:p>
          <w:p w:rsidR="00D63CFC" w:rsidRPr="007037E0" w:rsidRDefault="00D63CFC" w:rsidP="00D63CFC">
            <w:pPr>
              <w:pStyle w:val="berschrift5"/>
              <w:spacing w:line="240" w:lineRule="auto"/>
              <w:ind w:right="-113"/>
              <w:rPr>
                <w:rFonts w:cs="Helvetica"/>
                <w:b w:val="0"/>
                <w:bCs w:val="0"/>
                <w:i w:val="0"/>
                <w:iCs w:val="0"/>
                <w:szCs w:val="18"/>
                <w:lang w:val="it-IT"/>
              </w:rPr>
            </w:pPr>
            <w:r w:rsidRPr="007037E0">
              <w:rPr>
                <w:rFonts w:cs="Helvetica"/>
                <w:b w:val="0"/>
                <w:i w:val="0"/>
                <w:color w:val="000000"/>
                <w:szCs w:val="18"/>
                <w:lang w:val="it-IT"/>
              </w:rPr>
              <w:t>rh@press-n-relations.de</w:t>
            </w:r>
            <w:r w:rsidRPr="007037E0">
              <w:rPr>
                <w:rFonts w:cs="Helvetica"/>
                <w:b w:val="0"/>
                <w:i w:val="0"/>
                <w:color w:val="000000"/>
                <w:szCs w:val="18"/>
                <w:lang w:val="it-IT"/>
              </w:rPr>
              <w:br/>
              <w:t>www.press-n-relations.de</w:t>
            </w:r>
          </w:p>
        </w:tc>
      </w:tr>
    </w:tbl>
    <w:p w:rsidR="00D63CFC" w:rsidRPr="00F6704B" w:rsidRDefault="00D63CFC" w:rsidP="00D63CFC">
      <w:pPr>
        <w:pStyle w:val="Textkrper3"/>
        <w:ind w:right="-709"/>
        <w:rPr>
          <w:b/>
          <w:bCs/>
          <w:lang w:val="it-IT"/>
        </w:rPr>
      </w:pPr>
    </w:p>
    <w:p w:rsidR="00D63CFC" w:rsidRDefault="00D63CFC" w:rsidP="00D63CFC">
      <w:pPr>
        <w:pStyle w:val="Textkrper3"/>
        <w:ind w:right="-709"/>
        <w:rPr>
          <w:b/>
          <w:bCs/>
        </w:rPr>
      </w:pPr>
      <w:r w:rsidRPr="009F5269">
        <w:rPr>
          <w:b/>
          <w:bCs/>
        </w:rPr>
        <w:t>Übe</w:t>
      </w:r>
      <w:r>
        <w:rPr>
          <w:b/>
          <w:bCs/>
        </w:rPr>
        <w:t>r die cronos Unternehmensberatung</w:t>
      </w:r>
    </w:p>
    <w:p w:rsidR="00D63CFC" w:rsidRPr="00683E5E" w:rsidRDefault="00D63CFC" w:rsidP="00D63CFC">
      <w:pPr>
        <w:pStyle w:val="Textkrper3"/>
        <w:ind w:right="-709"/>
        <w:rPr>
          <w:spacing w:val="2"/>
          <w:szCs w:val="18"/>
        </w:rPr>
      </w:pPr>
      <w:r w:rsidRPr="00683E5E">
        <w:rPr>
          <w:spacing w:val="2"/>
          <w:szCs w:val="18"/>
        </w:rPr>
        <w:t>Die cronos Unternehmensberatung GmbH wurde 1991 in Münster gegründet und hat sich mit aktuell über 300 festangestellten Mitarbeitern als größtes konzernunabhängiges Beratungshaus auf dem deutschen Energiemarkt etabliert. Der Fokus liegt vor allem auf der Umsetzung unterschiedlichster</w:t>
      </w:r>
    </w:p>
    <w:p w:rsidR="00D63CFC" w:rsidRPr="00683E5E" w:rsidRDefault="00D63CFC" w:rsidP="00D63CFC">
      <w:pPr>
        <w:pStyle w:val="Textkrper3"/>
        <w:ind w:right="-709"/>
        <w:rPr>
          <w:spacing w:val="2"/>
          <w:szCs w:val="18"/>
        </w:rPr>
      </w:pPr>
      <w:r w:rsidRPr="00683E5E">
        <w:rPr>
          <w:spacing w:val="2"/>
          <w:szCs w:val="18"/>
        </w:rPr>
        <w:t>(IT-)Anforderungen sowie der Gestaltung der zugehörigen Geschäftsprozesse bei mittleren und großen Versorgungsunternehmen. Die Kompetenzschwerpunkte erstrecken sich über die Themen SAP IS-U, SAP CRM, SAP BW/BI, Smart Metering, Marktkommunikation, Energiehandel und -beschaffung, Managementberatung sowie Schulung/Services. Neben dem Hauptsitz in Münster verfügt cronos über Geschäftsstellen in Hamburg, Berlin, Düsseldorf, Walldorf, München, Wien sowie Toronto (Kanada), Bangalore und Trivandrum (Indien).</w:t>
      </w:r>
    </w:p>
    <w:sectPr w:rsidR="00D63CFC" w:rsidRPr="00683E5E" w:rsidSect="00D63CFC">
      <w:headerReference w:type="default" r:id="rId10"/>
      <w:pgSz w:w="11906" w:h="16838"/>
      <w:pgMar w:top="1985" w:right="2692" w:bottom="567" w:left="1417" w:header="709" w:footer="709" w:gutter="0"/>
      <w:cols w:space="709"/>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1874" w:rsidRDefault="00681874">
      <w:r>
        <w:separator/>
      </w:r>
    </w:p>
  </w:endnote>
  <w:endnote w:type="continuationSeparator" w:id="0">
    <w:p w:rsidR="00681874" w:rsidRDefault="00681874">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1874" w:rsidRDefault="00681874">
      <w:r>
        <w:separator/>
      </w:r>
    </w:p>
  </w:footnote>
  <w:footnote w:type="continuationSeparator" w:id="0">
    <w:p w:rsidR="00681874" w:rsidRDefault="0068187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CFC" w:rsidRDefault="00B527E9" w:rsidP="00D63CFC">
    <w:pPr>
      <w:pStyle w:val="Kopfzeile"/>
    </w:pPr>
    <w:r>
      <w:rPr>
        <w:noProof/>
      </w:rPr>
      <w:drawing>
        <wp:anchor distT="0" distB="0" distL="114300" distR="114300" simplePos="0" relativeHeight="251657728" behindDoc="0" locked="0" layoutInCell="1" allowOverlap="1">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C20E1B0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Helvetica"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Helvetica"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
  </w:num>
  <w:num w:numId="3">
    <w:abstractNumId w:val="4"/>
  </w:num>
  <w:num w:numId="4">
    <w:abstractNumId w:val="2"/>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3"/>
  <w:embedSystemFonts/>
  <w:doNotTrackMoves/>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rsids>
    <w:rsidRoot w:val="00DD4A38"/>
    <w:rsid w:val="000F66B2"/>
    <w:rsid w:val="00177457"/>
    <w:rsid w:val="001C6B14"/>
    <w:rsid w:val="002129FF"/>
    <w:rsid w:val="002201BC"/>
    <w:rsid w:val="002315AB"/>
    <w:rsid w:val="002B7A0F"/>
    <w:rsid w:val="00452AEF"/>
    <w:rsid w:val="005041C8"/>
    <w:rsid w:val="005B2FC2"/>
    <w:rsid w:val="00681874"/>
    <w:rsid w:val="006939B5"/>
    <w:rsid w:val="007E4D49"/>
    <w:rsid w:val="008323A2"/>
    <w:rsid w:val="00A3578F"/>
    <w:rsid w:val="00AF132D"/>
    <w:rsid w:val="00B527E9"/>
    <w:rsid w:val="00BB74C0"/>
    <w:rsid w:val="00CE3937"/>
    <w:rsid w:val="00D1004B"/>
    <w:rsid w:val="00D63CFC"/>
    <w:rsid w:val="00DD4A38"/>
    <w:rsid w:val="00E77B5B"/>
    <w:rsid w:val="00F6704B"/>
    <w:rsid w:val="00F716D9"/>
    <w:rsid w:val="00FA1AB1"/>
    <w:rsid w:val="00FA3B8D"/>
  </w:rsids>
  <m:mathPr>
    <m:mathFont m:val="Wingdings 2"/>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Arial"/>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3" w:uiPriority="99"/>
    <w:lsdException w:name="Strong" w:qFormat="1"/>
    <w:lsdException w:name="Emphasis" w:qFormat="1"/>
    <w:lsdException w:name="Normal (Web)" w:uiPriority="99"/>
    <w:lsdException w:name="No Spacing" w:qFormat="1"/>
    <w:lsdException w:name="Colorful List" w:qFormat="1"/>
    <w:lsdException w:name="Colorful Grid" w:qFormat="1"/>
    <w:lsdException w:name="Light Shading Accent 1" w:qFormat="1"/>
    <w:lsdException w:name="List Paragraph" w:qFormat="1"/>
    <w:lsdException w:name="Quote" w:qFormat="1"/>
    <w:lsdException w:name="Intense Quote"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eiche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eiche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eiche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3Zeichen">
    <w:name w:val="Überschrift 3 Zeiche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eichen"/>
    <w:uiPriority w:val="99"/>
    <w:rsid w:val="00092043"/>
    <w:pPr>
      <w:tabs>
        <w:tab w:val="center" w:pos="4536"/>
        <w:tab w:val="right" w:pos="9072"/>
      </w:tabs>
    </w:pPr>
    <w:rPr>
      <w:sz w:val="20"/>
      <w:szCs w:val="20"/>
    </w:rPr>
  </w:style>
  <w:style w:type="paragraph" w:styleId="Kopfzeile">
    <w:name w:val="header"/>
    <w:basedOn w:val="Standard"/>
    <w:link w:val="KopfzeileZeiche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eichen"/>
    <w:uiPriority w:val="99"/>
    <w:rsid w:val="00092043"/>
    <w:rPr>
      <w:rFonts w:ascii="Lucida Grande" w:hAnsi="Lucida Grande"/>
      <w:sz w:val="18"/>
      <w:szCs w:val="20"/>
    </w:rPr>
  </w:style>
  <w:style w:type="character" w:customStyle="1" w:styleId="SprechblasentextZeichen">
    <w:name w:val="Sprechblasentext Zeichen"/>
    <w:link w:val="Sprechblasentext"/>
    <w:uiPriority w:val="99"/>
    <w:locked/>
    <w:rsid w:val="00092043"/>
    <w:rPr>
      <w:rFonts w:ascii="Lucida Grande" w:hAnsi="Lucida Grande" w:cs="Times New Roman"/>
      <w:sz w:val="18"/>
      <w:lang w:eastAsia="de-DE" w:bidi="ar-SA"/>
    </w:rPr>
  </w:style>
  <w:style w:type="character" w:customStyle="1" w:styleId="berschrift1Zeichen">
    <w:name w:val="Überschrift 1 Zeiche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eichen">
    <w:name w:val="Überschrift 5 Zeichen"/>
    <w:link w:val="berschrift5"/>
    <w:uiPriority w:val="99"/>
    <w:locked/>
    <w:rsid w:val="00092043"/>
    <w:rPr>
      <w:rFonts w:ascii="Helvetica" w:hAnsi="Helvetica" w:cs="Helvetica"/>
      <w:b/>
      <w:bCs/>
      <w:i/>
      <w:iCs/>
      <w:sz w:val="18"/>
      <w:lang w:eastAsia="de-DE"/>
    </w:rPr>
  </w:style>
  <w:style w:type="character" w:customStyle="1" w:styleId="KopfzeileZeichen">
    <w:name w:val="Kopfzeile Zeichen"/>
    <w:link w:val="Kopfzeile"/>
    <w:locked/>
    <w:rsid w:val="00092043"/>
    <w:rPr>
      <w:rFonts w:ascii="Helvetica" w:hAnsi="Helvetica" w:cs="Helvetica"/>
      <w:sz w:val="22"/>
      <w:lang w:eastAsia="de-DE"/>
    </w:rPr>
  </w:style>
  <w:style w:type="paragraph" w:styleId="Textkrper3">
    <w:name w:val="Body Text 3"/>
    <w:basedOn w:val="Standard"/>
    <w:link w:val="Textkrper3Zeiche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eichen">
    <w:name w:val="Fußzeile Zeichen"/>
    <w:link w:val="Fuzeile"/>
    <w:uiPriority w:val="99"/>
    <w:locked/>
    <w:rsid w:val="00092043"/>
    <w:rPr>
      <w:rFonts w:ascii="Times New Roman" w:hAnsi="Times New Roman" w:cs="Times New Roman"/>
      <w:lang w:eastAsia="de-DE" w:bidi="ar-SA"/>
    </w:rPr>
  </w:style>
  <w:style w:type="character" w:customStyle="1" w:styleId="Textkrper3Zeichen">
    <w:name w:val="Textkörper 3 Zeiche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eichen"/>
    <w:rsid w:val="0061697A"/>
    <w:rPr>
      <w:sz w:val="20"/>
      <w:szCs w:val="20"/>
    </w:rPr>
  </w:style>
  <w:style w:type="character" w:customStyle="1" w:styleId="KommentartextZeichen">
    <w:name w:val="Kommentartext Zeiche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eichen"/>
    <w:uiPriority w:val="99"/>
    <w:semiHidden/>
    <w:rsid w:val="004855A6"/>
    <w:rPr>
      <w:b/>
      <w:bCs/>
    </w:rPr>
  </w:style>
  <w:style w:type="character" w:customStyle="1" w:styleId="KommentarthemaZeichen">
    <w:name w:val="Kommentarthema Zeichen"/>
    <w:link w:val="Kommentarthema"/>
    <w:uiPriority w:val="99"/>
    <w:semiHidden/>
    <w:rsid w:val="00141E5E"/>
    <w:rPr>
      <w:rFonts w:ascii="Times New Roman" w:hAnsi="Times New Roman" w:cs="Times New Roman"/>
      <w:b/>
      <w:bCs/>
    </w:rPr>
  </w:style>
  <w:style w:type="character" w:styleId="Gesichte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amid-pr.press-n-relations.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898</Words>
  <Characters>5122</Characters>
  <Application>Microsoft Macintosh Word</Application>
  <DocSecurity>0</DocSecurity>
  <Lines>42</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PnR</Company>
  <LinksUpToDate>false</LinksUpToDate>
  <CharactersWithSpaces>6290</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851982</vt:i4>
      </vt:variant>
      <vt:variant>
        <vt:i4>6712</vt:i4>
      </vt:variant>
      <vt:variant>
        <vt:i4>1025</vt:i4>
      </vt:variant>
      <vt:variant>
        <vt:i4>1</vt:i4>
      </vt:variant>
      <vt:variant>
        <vt:lpwstr>CRO_BPEM[GO]monitoring_klein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Rebecca Hasert</dc:creator>
  <cp:keywords/>
  <cp:lastModifiedBy>Rebecca Hasert</cp:lastModifiedBy>
  <cp:revision>11</cp:revision>
  <cp:lastPrinted>2014-03-05T12:00:00Z</cp:lastPrinted>
  <dcterms:created xsi:type="dcterms:W3CDTF">2014-03-04T16:34:00Z</dcterms:created>
  <dcterms:modified xsi:type="dcterms:W3CDTF">2014-03-05T12:06:00Z</dcterms:modified>
</cp:coreProperties>
</file>