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6864FD" w14:textId="77777777" w:rsidR="00BE16F8" w:rsidRDefault="00BE16F8">
      <w:pPr>
        <w:pStyle w:val="berschrift4"/>
        <w:spacing w:line="264" w:lineRule="auto"/>
        <w:ind w:right="-8"/>
        <w:rPr>
          <w:b/>
          <w:sz w:val="26"/>
        </w:rPr>
      </w:pPr>
      <w:bookmarkStart w:id="0" w:name="_GoBack"/>
      <w:bookmarkEnd w:id="0"/>
      <w:r>
        <w:rPr>
          <w:b/>
          <w:sz w:val="26"/>
        </w:rPr>
        <w:t>Presseinformation</w:t>
      </w:r>
    </w:p>
    <w:p w14:paraId="2BF72576" w14:textId="77777777" w:rsidR="00BE16F8" w:rsidRDefault="00BE16F8">
      <w:pPr>
        <w:widowControl w:val="0"/>
        <w:autoSpaceDE w:val="0"/>
        <w:autoSpaceDN w:val="0"/>
        <w:adjustRightInd w:val="0"/>
        <w:spacing w:line="264" w:lineRule="auto"/>
        <w:ind w:right="267"/>
        <w:rPr>
          <w:sz w:val="20"/>
        </w:rPr>
      </w:pPr>
    </w:p>
    <w:p w14:paraId="4364FAC1" w14:textId="24F299C8" w:rsidR="00BE16F8" w:rsidRDefault="00BE16F8">
      <w:pPr>
        <w:pStyle w:val="Kopfzeile"/>
        <w:tabs>
          <w:tab w:val="clear" w:pos="4536"/>
          <w:tab w:val="clear" w:pos="9072"/>
        </w:tabs>
        <w:spacing w:line="264" w:lineRule="auto"/>
        <w:ind w:right="267"/>
        <w:rPr>
          <w:sz w:val="20"/>
        </w:rPr>
      </w:pPr>
      <w:proofErr w:type="spellStart"/>
      <w:r>
        <w:rPr>
          <w:sz w:val="20"/>
        </w:rPr>
        <w:t>Achstetten</w:t>
      </w:r>
      <w:proofErr w:type="spellEnd"/>
      <w:r>
        <w:rPr>
          <w:sz w:val="20"/>
        </w:rPr>
        <w:t xml:space="preserve">, </w:t>
      </w:r>
      <w:r w:rsidR="00651E2F">
        <w:rPr>
          <w:sz w:val="20"/>
        </w:rPr>
        <w:t>19. Januar 2016</w:t>
      </w:r>
    </w:p>
    <w:p w14:paraId="13F4A49E" w14:textId="77777777" w:rsidR="00BE16F8" w:rsidRDefault="00BE16F8">
      <w:pPr>
        <w:autoSpaceDE w:val="0"/>
        <w:autoSpaceDN w:val="0"/>
        <w:spacing w:line="264" w:lineRule="auto"/>
        <w:ind w:right="267"/>
        <w:rPr>
          <w:sz w:val="20"/>
        </w:rPr>
      </w:pPr>
    </w:p>
    <w:p w14:paraId="2B5C0775" w14:textId="77777777" w:rsidR="00BE16F8" w:rsidRDefault="00BE16F8">
      <w:pPr>
        <w:pStyle w:val="Kopfzeile"/>
        <w:tabs>
          <w:tab w:val="clear" w:pos="4536"/>
          <w:tab w:val="clear" w:pos="9072"/>
          <w:tab w:val="left" w:pos="7797"/>
        </w:tabs>
        <w:spacing w:line="264" w:lineRule="auto"/>
        <w:ind w:right="267"/>
        <w:rPr>
          <w:sz w:val="20"/>
        </w:rPr>
      </w:pPr>
    </w:p>
    <w:p w14:paraId="0496E6FA" w14:textId="77777777" w:rsidR="00BE16F8" w:rsidRDefault="0077248A" w:rsidP="00CC5C9E">
      <w:pPr>
        <w:pStyle w:val="Textkrper"/>
        <w:tabs>
          <w:tab w:val="left" w:pos="8080"/>
          <w:tab w:val="left" w:pos="8222"/>
        </w:tabs>
        <w:spacing w:line="288" w:lineRule="auto"/>
        <w:ind w:right="281"/>
        <w:rPr>
          <w:rFonts w:cs="Times New Roman"/>
          <w:b/>
          <w:sz w:val="26"/>
          <w:szCs w:val="20"/>
        </w:rPr>
      </w:pPr>
      <w:bookmarkStart w:id="1" w:name="OLE_LINK3"/>
      <w:r>
        <w:rPr>
          <w:rFonts w:cs="Times New Roman"/>
          <w:b/>
          <w:sz w:val="26"/>
          <w:szCs w:val="20"/>
        </w:rPr>
        <w:t>12 Zoll für den besseren Durchblick</w:t>
      </w:r>
    </w:p>
    <w:p w14:paraId="2C27C5A3" w14:textId="77777777" w:rsidR="005B3C1F" w:rsidRDefault="0086794A" w:rsidP="00BE16F8">
      <w:pPr>
        <w:pStyle w:val="Textkrper"/>
        <w:tabs>
          <w:tab w:val="left" w:pos="7938"/>
          <w:tab w:val="left" w:pos="8222"/>
        </w:tabs>
        <w:spacing w:line="288" w:lineRule="auto"/>
        <w:ind w:right="564"/>
        <w:rPr>
          <w:rFonts w:cs="Times New Roman"/>
          <w:sz w:val="26"/>
          <w:szCs w:val="20"/>
        </w:rPr>
      </w:pPr>
      <w:r>
        <w:rPr>
          <w:rFonts w:cs="Times New Roman"/>
          <w:sz w:val="26"/>
          <w:szCs w:val="20"/>
        </w:rPr>
        <w:t xml:space="preserve">ACD Elektronik </w:t>
      </w:r>
      <w:r w:rsidR="0077248A">
        <w:rPr>
          <w:rFonts w:cs="Times New Roman"/>
          <w:sz w:val="26"/>
          <w:szCs w:val="20"/>
        </w:rPr>
        <w:t xml:space="preserve">erweitert Mobile Fahrzeugterminal-Serie </w:t>
      </w:r>
      <w:r>
        <w:rPr>
          <w:rFonts w:cs="Times New Roman"/>
          <w:sz w:val="26"/>
          <w:szCs w:val="20"/>
        </w:rPr>
        <w:t xml:space="preserve"> </w:t>
      </w:r>
    </w:p>
    <w:p w14:paraId="0CD5B644" w14:textId="77777777" w:rsidR="00BE16F8" w:rsidRPr="006F6D5B" w:rsidRDefault="00BE16F8" w:rsidP="00BE16F8">
      <w:pPr>
        <w:pStyle w:val="Textkrper"/>
        <w:tabs>
          <w:tab w:val="left" w:pos="7938"/>
          <w:tab w:val="left" w:pos="8222"/>
        </w:tabs>
        <w:spacing w:line="288" w:lineRule="auto"/>
        <w:ind w:right="564"/>
        <w:rPr>
          <w:sz w:val="22"/>
        </w:rPr>
      </w:pPr>
    </w:p>
    <w:p w14:paraId="7DBDFD15" w14:textId="47BB1932" w:rsidR="00CC5C9E" w:rsidRDefault="0077248A" w:rsidP="007770DF">
      <w:pPr>
        <w:pStyle w:val="Textkrper"/>
        <w:tabs>
          <w:tab w:val="left" w:pos="7938"/>
          <w:tab w:val="left" w:pos="8222"/>
        </w:tabs>
        <w:spacing w:line="288" w:lineRule="auto"/>
        <w:jc w:val="both"/>
        <w:rPr>
          <w:b/>
          <w:sz w:val="20"/>
        </w:rPr>
      </w:pPr>
      <w:r>
        <w:rPr>
          <w:b/>
          <w:sz w:val="20"/>
        </w:rPr>
        <w:t xml:space="preserve">Mit dem MFT12 </w:t>
      </w:r>
      <w:r w:rsidR="0047799B">
        <w:rPr>
          <w:b/>
          <w:sz w:val="20"/>
        </w:rPr>
        <w:t>erweitert</w:t>
      </w:r>
      <w:r>
        <w:rPr>
          <w:b/>
          <w:sz w:val="20"/>
        </w:rPr>
        <w:t xml:space="preserve"> die</w:t>
      </w:r>
      <w:r w:rsidR="00E54074" w:rsidRPr="007770DF">
        <w:rPr>
          <w:b/>
          <w:sz w:val="20"/>
        </w:rPr>
        <w:t xml:space="preserve"> ACD Elektronik GmbH mit Sitz im süddeutschen Ach</w:t>
      </w:r>
      <w:r w:rsidR="0086794A">
        <w:rPr>
          <w:b/>
          <w:sz w:val="20"/>
        </w:rPr>
        <w:t>stetten</w:t>
      </w:r>
      <w:r>
        <w:rPr>
          <w:b/>
          <w:sz w:val="20"/>
        </w:rPr>
        <w:t xml:space="preserve"> die Produktreihe der mobilen Fahrzeugterminals für die Prozesse rund um die Kommissionierung und anspruc</w:t>
      </w:r>
      <w:r w:rsidR="0047799B">
        <w:rPr>
          <w:b/>
          <w:sz w:val="20"/>
        </w:rPr>
        <w:t>hsvolle Logistik-Applikationen</w:t>
      </w:r>
      <w:r>
        <w:rPr>
          <w:b/>
          <w:sz w:val="20"/>
        </w:rPr>
        <w:t>. Im Vergleich zum</w:t>
      </w:r>
      <w:r w:rsidR="00E87553">
        <w:rPr>
          <w:b/>
          <w:sz w:val="20"/>
        </w:rPr>
        <w:t xml:space="preserve"> </w:t>
      </w:r>
      <w:r>
        <w:rPr>
          <w:b/>
          <w:sz w:val="20"/>
        </w:rPr>
        <w:t>MFT10 bietet die neue</w:t>
      </w:r>
      <w:r w:rsidR="0047799B">
        <w:rPr>
          <w:b/>
          <w:sz w:val="20"/>
        </w:rPr>
        <w:t xml:space="preserve"> Version ein um zwei</w:t>
      </w:r>
      <w:r>
        <w:rPr>
          <w:b/>
          <w:sz w:val="20"/>
        </w:rPr>
        <w:t xml:space="preserve"> Zoll größeres TFT-Farbdisplay mit 1024 x 768 Pixel</w:t>
      </w:r>
      <w:r w:rsidR="0047799B">
        <w:rPr>
          <w:b/>
          <w:sz w:val="20"/>
        </w:rPr>
        <w:t>n und LED-</w:t>
      </w:r>
      <w:r>
        <w:rPr>
          <w:b/>
          <w:sz w:val="20"/>
        </w:rPr>
        <w:t xml:space="preserve">Backlight. Der integrierte Arbeitsspeicher lässt </w:t>
      </w:r>
      <w:r w:rsidR="00A02AD9">
        <w:rPr>
          <w:b/>
          <w:sz w:val="20"/>
        </w:rPr>
        <w:t xml:space="preserve">sich </w:t>
      </w:r>
      <w:r w:rsidR="009B505B">
        <w:rPr>
          <w:b/>
          <w:sz w:val="20"/>
        </w:rPr>
        <w:t xml:space="preserve">von </w:t>
      </w:r>
      <w:r w:rsidR="001A495C">
        <w:rPr>
          <w:b/>
          <w:sz w:val="20"/>
        </w:rPr>
        <w:t xml:space="preserve">zwei </w:t>
      </w:r>
      <w:r w:rsidR="009B505B">
        <w:rPr>
          <w:b/>
          <w:sz w:val="20"/>
        </w:rPr>
        <w:t>auf acht Gigabyte</w:t>
      </w:r>
      <w:r>
        <w:rPr>
          <w:b/>
          <w:sz w:val="20"/>
        </w:rPr>
        <w:t xml:space="preserve"> erhöhen. </w:t>
      </w:r>
      <w:r w:rsidR="00D95900">
        <w:rPr>
          <w:b/>
          <w:sz w:val="20"/>
        </w:rPr>
        <w:t xml:space="preserve">Dank des </w:t>
      </w:r>
      <w:proofErr w:type="spellStart"/>
      <w:r w:rsidR="00D95900">
        <w:rPr>
          <w:b/>
          <w:sz w:val="20"/>
        </w:rPr>
        <w:t>resistiven</w:t>
      </w:r>
      <w:proofErr w:type="spellEnd"/>
      <w:r w:rsidR="00D95900">
        <w:rPr>
          <w:b/>
          <w:sz w:val="20"/>
        </w:rPr>
        <w:t xml:space="preserve"> Touchscreens </w:t>
      </w:r>
      <w:r w:rsidR="00AC3401">
        <w:rPr>
          <w:b/>
          <w:sz w:val="20"/>
        </w:rPr>
        <w:t xml:space="preserve">kann </w:t>
      </w:r>
      <w:r w:rsidR="00CC0BD6">
        <w:rPr>
          <w:b/>
          <w:sz w:val="20"/>
        </w:rPr>
        <w:t>das</w:t>
      </w:r>
      <w:r w:rsidR="00D95900">
        <w:rPr>
          <w:b/>
          <w:sz w:val="20"/>
        </w:rPr>
        <w:t xml:space="preserve"> MFT12 </w:t>
      </w:r>
      <w:r w:rsidR="003F6280">
        <w:rPr>
          <w:b/>
          <w:sz w:val="20"/>
        </w:rPr>
        <w:t>selbst mit Arbeitsh</w:t>
      </w:r>
      <w:r w:rsidR="00D95900">
        <w:rPr>
          <w:b/>
          <w:sz w:val="20"/>
        </w:rPr>
        <w:t>an</w:t>
      </w:r>
      <w:r w:rsidR="0047799B">
        <w:rPr>
          <w:b/>
          <w:sz w:val="20"/>
        </w:rPr>
        <w:t>dschuhen bedient werden. „</w:t>
      </w:r>
      <w:r w:rsidR="00D95900">
        <w:rPr>
          <w:b/>
          <w:sz w:val="20"/>
        </w:rPr>
        <w:t xml:space="preserve">Mit dem MFT12 komplettieren wir nicht nur unsere Produktfamilie, sondern gehen erneut auf die Kunden- und Marktanforderungen nach einer neuen Generation von Fahrzeugterminals mit schlankerem und tabletähnlichem Design ein“, erklärt ACD-Geschäftsführer Andreas Zwißler. Das mobile Terminal punktet mit </w:t>
      </w:r>
      <w:r w:rsidR="004E3117">
        <w:rPr>
          <w:b/>
          <w:sz w:val="20"/>
        </w:rPr>
        <w:t>einer schmaleren Bauform</w:t>
      </w:r>
      <w:r w:rsidR="0047799B">
        <w:rPr>
          <w:b/>
          <w:sz w:val="20"/>
        </w:rPr>
        <w:t xml:space="preserve"> ohne „scharfe</w:t>
      </w:r>
      <w:r w:rsidR="00D95900">
        <w:rPr>
          <w:b/>
          <w:sz w:val="20"/>
        </w:rPr>
        <w:t xml:space="preserve">“ Kanten. </w:t>
      </w:r>
      <w:r w:rsidR="00820B67">
        <w:rPr>
          <w:b/>
          <w:sz w:val="20"/>
        </w:rPr>
        <w:t>Das</w:t>
      </w:r>
      <w:r w:rsidR="00D95900">
        <w:rPr>
          <w:b/>
          <w:sz w:val="20"/>
        </w:rPr>
        <w:t xml:space="preserve"> Gewicht </w:t>
      </w:r>
      <w:r w:rsidR="00820B67">
        <w:rPr>
          <w:b/>
          <w:sz w:val="20"/>
        </w:rPr>
        <w:t>trägt eb</w:t>
      </w:r>
      <w:r w:rsidR="00CC0BD6">
        <w:rPr>
          <w:b/>
          <w:sz w:val="20"/>
        </w:rPr>
        <w:t xml:space="preserve">enfalls dazu bei, dass sich das </w:t>
      </w:r>
      <w:r w:rsidR="00820B67">
        <w:rPr>
          <w:b/>
          <w:sz w:val="20"/>
        </w:rPr>
        <w:t xml:space="preserve">MFT12 weiterhin für die Verwendung auf Gabelstaplern und Flurförderzeuge eignet. </w:t>
      </w:r>
      <w:r w:rsidR="0047799B">
        <w:rPr>
          <w:b/>
          <w:sz w:val="20"/>
        </w:rPr>
        <w:t xml:space="preserve">Trotz größerer Abmessungen </w:t>
      </w:r>
      <w:r w:rsidR="00CC0BD6">
        <w:rPr>
          <w:b/>
          <w:sz w:val="20"/>
        </w:rPr>
        <w:t>bringt es</w:t>
      </w:r>
      <w:r w:rsidR="00820B67">
        <w:rPr>
          <w:b/>
          <w:sz w:val="20"/>
        </w:rPr>
        <w:t xml:space="preserve"> lediglich 800 Gramm mehr als </w:t>
      </w:r>
      <w:commentRangeStart w:id="2"/>
      <w:r w:rsidR="001A6B5D">
        <w:rPr>
          <w:b/>
          <w:sz w:val="20"/>
        </w:rPr>
        <w:t>das MFT10</w:t>
      </w:r>
      <w:r w:rsidR="00015824">
        <w:rPr>
          <w:b/>
          <w:sz w:val="20"/>
        </w:rPr>
        <w:t xml:space="preserve"> </w:t>
      </w:r>
      <w:commentRangeEnd w:id="2"/>
      <w:r w:rsidR="00D8056C">
        <w:rPr>
          <w:rStyle w:val="Kommentarzeichen"/>
          <w:rFonts w:ascii="Times" w:hAnsi="Times" w:cs="Times New Roman"/>
          <w:szCs w:val="20"/>
        </w:rPr>
        <w:commentReference w:id="2"/>
      </w:r>
      <w:r w:rsidR="00015824">
        <w:rPr>
          <w:b/>
          <w:sz w:val="20"/>
        </w:rPr>
        <w:t xml:space="preserve">auf die Waage. </w:t>
      </w:r>
      <w:r w:rsidR="00A02AD9">
        <w:rPr>
          <w:b/>
          <w:sz w:val="20"/>
        </w:rPr>
        <w:t>D</w:t>
      </w:r>
      <w:r w:rsidR="0047799B">
        <w:rPr>
          <w:b/>
          <w:sz w:val="20"/>
        </w:rPr>
        <w:t>ies</w:t>
      </w:r>
      <w:r w:rsidR="00A02AD9">
        <w:rPr>
          <w:b/>
          <w:sz w:val="20"/>
        </w:rPr>
        <w:t>e</w:t>
      </w:r>
      <w:r w:rsidR="001A6B5D">
        <w:rPr>
          <w:b/>
          <w:sz w:val="20"/>
        </w:rPr>
        <w:t>s</w:t>
      </w:r>
      <w:r w:rsidR="00A02AD9">
        <w:rPr>
          <w:b/>
          <w:sz w:val="20"/>
        </w:rPr>
        <w:t xml:space="preserve"> wurde ebenfalls verbessert. So </w:t>
      </w:r>
      <w:r w:rsidR="0047799B">
        <w:rPr>
          <w:b/>
          <w:sz w:val="20"/>
        </w:rPr>
        <w:t>ist</w:t>
      </w:r>
      <w:r w:rsidR="007B756A">
        <w:rPr>
          <w:b/>
          <w:sz w:val="20"/>
        </w:rPr>
        <w:t xml:space="preserve"> der Bildschirm des MFT10 nun </w:t>
      </w:r>
      <w:r w:rsidR="00C96E44">
        <w:rPr>
          <w:b/>
          <w:sz w:val="20"/>
        </w:rPr>
        <w:t xml:space="preserve">optional </w:t>
      </w:r>
      <w:r w:rsidR="007B756A">
        <w:rPr>
          <w:b/>
          <w:sz w:val="20"/>
        </w:rPr>
        <w:t xml:space="preserve">mit </w:t>
      </w:r>
      <w:r w:rsidR="0047799B">
        <w:rPr>
          <w:b/>
          <w:sz w:val="20"/>
        </w:rPr>
        <w:t>eine</w:t>
      </w:r>
      <w:r w:rsidR="00ED04FB">
        <w:rPr>
          <w:b/>
          <w:sz w:val="20"/>
        </w:rPr>
        <w:t>m superhellen SVGA-Display</w:t>
      </w:r>
      <w:r w:rsidR="0047799B">
        <w:rPr>
          <w:b/>
          <w:sz w:val="20"/>
        </w:rPr>
        <w:t xml:space="preserve"> </w:t>
      </w:r>
      <w:r w:rsidR="007B756A">
        <w:rPr>
          <w:b/>
          <w:sz w:val="20"/>
        </w:rPr>
        <w:t>mit 800 x 600 Pixel</w:t>
      </w:r>
      <w:r w:rsidR="0047799B">
        <w:rPr>
          <w:b/>
          <w:sz w:val="20"/>
        </w:rPr>
        <w:t>n</w:t>
      </w:r>
      <w:r w:rsidR="007B756A">
        <w:rPr>
          <w:b/>
          <w:sz w:val="20"/>
        </w:rPr>
        <w:t xml:space="preserve"> ausgestattet. Bemerkbar macht sich dies bei der Lesbarkeit – insbesondere bei einer Anwendung im Außenbereich mit Sonneneinstrahlung. </w:t>
      </w:r>
    </w:p>
    <w:p w14:paraId="7CA2F92C" w14:textId="77777777" w:rsidR="0077248A" w:rsidRDefault="0077248A" w:rsidP="007770DF">
      <w:pPr>
        <w:pStyle w:val="Textkrper"/>
        <w:tabs>
          <w:tab w:val="left" w:pos="7938"/>
          <w:tab w:val="left" w:pos="8222"/>
        </w:tabs>
        <w:spacing w:line="288" w:lineRule="auto"/>
        <w:jc w:val="both"/>
        <w:rPr>
          <w:rFonts w:cs="Verdana"/>
          <w:szCs w:val="22"/>
        </w:rPr>
      </w:pPr>
    </w:p>
    <w:p w14:paraId="133E1894" w14:textId="3BCD701E" w:rsidR="00A5021D" w:rsidRDefault="00820B67" w:rsidP="00A10A07">
      <w:pPr>
        <w:spacing w:line="288" w:lineRule="auto"/>
        <w:jc w:val="both"/>
        <w:rPr>
          <w:rFonts w:ascii="Arial" w:hAnsi="Arial" w:cs="Arial"/>
          <w:sz w:val="20"/>
        </w:rPr>
      </w:pPr>
      <w:r>
        <w:rPr>
          <w:rFonts w:ascii="Arial" w:hAnsi="Arial" w:cs="Arial"/>
          <w:sz w:val="20"/>
        </w:rPr>
        <w:t xml:space="preserve">Mehr Platz für die Darstellung komplexer Anwendungen und eine sehr gute Lesbarkeit: </w:t>
      </w:r>
      <w:r w:rsidR="0047799B">
        <w:rPr>
          <w:rFonts w:ascii="Arial" w:hAnsi="Arial" w:cs="Arial"/>
          <w:sz w:val="20"/>
        </w:rPr>
        <w:t>Der</w:t>
      </w:r>
      <w:r w:rsidR="004E3117">
        <w:rPr>
          <w:rFonts w:ascii="Arial" w:hAnsi="Arial" w:cs="Arial"/>
          <w:sz w:val="20"/>
        </w:rPr>
        <w:t xml:space="preserve"> große Touchscreen</w:t>
      </w:r>
      <w:r>
        <w:rPr>
          <w:rFonts w:ascii="Arial" w:hAnsi="Arial" w:cs="Arial"/>
          <w:sz w:val="20"/>
        </w:rPr>
        <w:t xml:space="preserve"> des mobilen Fahrzeugterminals von ACD sorgt für fehlerfreies Arbeiten und schnellere Arbeitsabläufe im gesamten Lagerumfeld. </w:t>
      </w:r>
      <w:r w:rsidR="00CC0BD6">
        <w:rPr>
          <w:rFonts w:ascii="Arial" w:hAnsi="Arial" w:cs="Arial"/>
          <w:sz w:val="20"/>
        </w:rPr>
        <w:t>Mit Samthandschuhen muss es</w:t>
      </w:r>
      <w:r w:rsidR="003F6280">
        <w:rPr>
          <w:rFonts w:ascii="Arial" w:hAnsi="Arial" w:cs="Arial"/>
          <w:sz w:val="20"/>
        </w:rPr>
        <w:t xml:space="preserve"> jedoch nicht angefasst werden, denn sowohl das pulverbeschichtete Aluminiumgehäuse als auch das extrem robuste</w:t>
      </w:r>
      <w:r w:rsidR="0047799B">
        <w:rPr>
          <w:rFonts w:ascii="Arial" w:hAnsi="Arial" w:cs="Arial"/>
          <w:sz w:val="20"/>
        </w:rPr>
        <w:t>,</w:t>
      </w:r>
      <w:r w:rsidR="003F6280">
        <w:rPr>
          <w:rFonts w:ascii="Arial" w:hAnsi="Arial" w:cs="Arial"/>
          <w:sz w:val="20"/>
        </w:rPr>
        <w:t xml:space="preserve"> chemisch gehärtete Trägerglas der Frontscheibe schützen die Technik im Inneren </w:t>
      </w:r>
      <w:r w:rsidR="009B505B">
        <w:rPr>
          <w:rFonts w:ascii="Arial" w:hAnsi="Arial" w:cs="Arial"/>
          <w:sz w:val="20"/>
        </w:rPr>
        <w:t xml:space="preserve">– </w:t>
      </w:r>
      <w:r w:rsidR="003F6280">
        <w:rPr>
          <w:rFonts w:ascii="Arial" w:hAnsi="Arial" w:cs="Arial"/>
          <w:sz w:val="20"/>
        </w:rPr>
        <w:t xml:space="preserve">selbst bei Stürzen </w:t>
      </w:r>
      <w:r w:rsidR="00234E82">
        <w:rPr>
          <w:rFonts w:ascii="Arial" w:hAnsi="Arial" w:cs="Arial"/>
          <w:sz w:val="20"/>
        </w:rPr>
        <w:t>auf den Boden. Der</w:t>
      </w:r>
      <w:r w:rsidR="003F6280">
        <w:rPr>
          <w:rFonts w:ascii="Arial" w:hAnsi="Arial" w:cs="Arial"/>
          <w:sz w:val="20"/>
        </w:rPr>
        <w:t xml:space="preserve"> Intel Celeron Quad Core Prozesso</w:t>
      </w:r>
      <w:r w:rsidR="00234E82">
        <w:rPr>
          <w:rFonts w:ascii="Arial" w:hAnsi="Arial" w:cs="Arial"/>
          <w:sz w:val="20"/>
        </w:rPr>
        <w:t>r</w:t>
      </w:r>
      <w:r w:rsidR="003F6280">
        <w:rPr>
          <w:rFonts w:ascii="Arial" w:hAnsi="Arial" w:cs="Arial"/>
          <w:sz w:val="20"/>
        </w:rPr>
        <w:t xml:space="preserve"> mit 4</w:t>
      </w:r>
      <w:r w:rsidR="008F5347">
        <w:rPr>
          <w:rFonts w:ascii="Arial" w:hAnsi="Arial" w:cs="Arial"/>
          <w:sz w:val="20"/>
        </w:rPr>
        <w:t xml:space="preserve"> </w:t>
      </w:r>
      <w:r w:rsidR="003F6280">
        <w:rPr>
          <w:rFonts w:ascii="Arial" w:hAnsi="Arial" w:cs="Arial"/>
          <w:sz w:val="20"/>
        </w:rPr>
        <w:t>x</w:t>
      </w:r>
      <w:r w:rsidR="008F5347">
        <w:rPr>
          <w:rFonts w:ascii="Arial" w:hAnsi="Arial" w:cs="Arial"/>
          <w:sz w:val="20"/>
        </w:rPr>
        <w:t xml:space="preserve"> </w:t>
      </w:r>
      <w:r w:rsidR="003F6280">
        <w:rPr>
          <w:rFonts w:ascii="Arial" w:hAnsi="Arial" w:cs="Arial"/>
          <w:sz w:val="20"/>
        </w:rPr>
        <w:t>1,83 Gigaher</w:t>
      </w:r>
      <w:r w:rsidR="00234E82">
        <w:rPr>
          <w:rFonts w:ascii="Arial" w:hAnsi="Arial" w:cs="Arial"/>
          <w:sz w:val="20"/>
        </w:rPr>
        <w:t>t</w:t>
      </w:r>
      <w:r w:rsidR="003F6280">
        <w:rPr>
          <w:rFonts w:ascii="Arial" w:hAnsi="Arial" w:cs="Arial"/>
          <w:sz w:val="20"/>
        </w:rPr>
        <w:t xml:space="preserve">z sorgt für eine schnelle Verarbeitung der Daten. Als Betriebssystem kommt Windows Embedded Standard 7 zum Einsatz. </w:t>
      </w:r>
      <w:r w:rsidR="00234E82">
        <w:rPr>
          <w:rFonts w:ascii="Arial" w:hAnsi="Arial" w:cs="Arial"/>
          <w:sz w:val="20"/>
        </w:rPr>
        <w:t>Der Arbeitsspeicher umfasst 2 Gigabyte und kann bei Bedarf auf 8 Gigabyte erweitert werden. Dabei sorgt der DDR3L-Chip für niedrigen Strom</w:t>
      </w:r>
      <w:r w:rsidR="004E3117">
        <w:rPr>
          <w:rFonts w:ascii="Arial" w:hAnsi="Arial" w:cs="Arial"/>
          <w:sz w:val="20"/>
        </w:rPr>
        <w:t>verbrauch. Damit das Gerät bei möglichen Spannungseinbrüchen nicht gefährdet ist, setzen die ACD-Entwickler auf Superkondensato</w:t>
      </w:r>
      <w:r w:rsidR="00CC0BD6">
        <w:rPr>
          <w:rFonts w:ascii="Arial" w:hAnsi="Arial" w:cs="Arial"/>
          <w:sz w:val="20"/>
        </w:rPr>
        <w:t xml:space="preserve">ren, auf Wunsch kann das </w:t>
      </w:r>
      <w:r w:rsidR="0047799B">
        <w:rPr>
          <w:rFonts w:ascii="Arial" w:hAnsi="Arial" w:cs="Arial"/>
          <w:sz w:val="20"/>
        </w:rPr>
        <w:t xml:space="preserve">MFT12 </w:t>
      </w:r>
      <w:r w:rsidR="004E3117">
        <w:rPr>
          <w:rFonts w:ascii="Arial" w:hAnsi="Arial" w:cs="Arial"/>
          <w:sz w:val="20"/>
        </w:rPr>
        <w:t xml:space="preserve">bis zu 1,5 Stunden </w:t>
      </w:r>
      <w:r w:rsidR="00F91021">
        <w:rPr>
          <w:rFonts w:ascii="Arial" w:hAnsi="Arial" w:cs="Arial"/>
          <w:sz w:val="20"/>
        </w:rPr>
        <w:t>autark</w:t>
      </w:r>
      <w:r w:rsidR="004E3117">
        <w:rPr>
          <w:rFonts w:ascii="Arial" w:hAnsi="Arial" w:cs="Arial"/>
          <w:sz w:val="20"/>
        </w:rPr>
        <w:t xml:space="preserve"> im Akkubetrieb </w:t>
      </w:r>
      <w:r w:rsidR="009B505B">
        <w:rPr>
          <w:rFonts w:ascii="Arial" w:hAnsi="Arial" w:cs="Arial"/>
          <w:sz w:val="20"/>
        </w:rPr>
        <w:t>betrieben werden</w:t>
      </w:r>
      <w:r w:rsidR="004E3117">
        <w:rPr>
          <w:rFonts w:ascii="Arial" w:hAnsi="Arial" w:cs="Arial"/>
          <w:sz w:val="20"/>
        </w:rPr>
        <w:t xml:space="preserve">. </w:t>
      </w:r>
      <w:r w:rsidR="0047799B">
        <w:rPr>
          <w:rFonts w:ascii="Arial" w:hAnsi="Arial" w:cs="Arial"/>
          <w:sz w:val="20"/>
        </w:rPr>
        <w:t xml:space="preserve">Die fünf </w:t>
      </w:r>
      <w:r w:rsidR="00F91021">
        <w:rPr>
          <w:rFonts w:ascii="Arial" w:hAnsi="Arial" w:cs="Arial"/>
          <w:sz w:val="20"/>
        </w:rPr>
        <w:t xml:space="preserve">Funktionstasten </w:t>
      </w:r>
      <w:r w:rsidR="0047799B">
        <w:rPr>
          <w:rFonts w:ascii="Arial" w:hAnsi="Arial" w:cs="Arial"/>
          <w:sz w:val="20"/>
        </w:rPr>
        <w:t>sind</w:t>
      </w:r>
      <w:r w:rsidR="009B505B">
        <w:rPr>
          <w:rFonts w:ascii="Arial" w:hAnsi="Arial" w:cs="Arial"/>
          <w:sz w:val="20"/>
        </w:rPr>
        <w:t>,</w:t>
      </w:r>
      <w:r w:rsidR="0047799B">
        <w:rPr>
          <w:rFonts w:ascii="Arial" w:hAnsi="Arial" w:cs="Arial"/>
          <w:sz w:val="20"/>
        </w:rPr>
        <w:t xml:space="preserve"> </w:t>
      </w:r>
      <w:r w:rsidR="009B505B">
        <w:rPr>
          <w:rFonts w:ascii="Arial" w:hAnsi="Arial" w:cs="Arial"/>
          <w:sz w:val="20"/>
        </w:rPr>
        <w:t xml:space="preserve">wie gewohnt, </w:t>
      </w:r>
      <w:r w:rsidR="0047799B">
        <w:rPr>
          <w:rFonts w:ascii="Arial" w:hAnsi="Arial" w:cs="Arial"/>
          <w:sz w:val="20"/>
        </w:rPr>
        <w:t xml:space="preserve">frei programmierbar. </w:t>
      </w:r>
      <w:r w:rsidR="00015824">
        <w:rPr>
          <w:rFonts w:ascii="Arial" w:hAnsi="Arial" w:cs="Arial"/>
          <w:sz w:val="20"/>
        </w:rPr>
        <w:t xml:space="preserve">Zurück im </w:t>
      </w:r>
      <w:r w:rsidR="008F5347">
        <w:rPr>
          <w:rFonts w:ascii="Arial" w:hAnsi="Arial" w:cs="Arial"/>
          <w:sz w:val="20"/>
        </w:rPr>
        <w:t xml:space="preserve">Lager </w:t>
      </w:r>
      <w:r w:rsidR="00015824">
        <w:rPr>
          <w:rFonts w:ascii="Arial" w:hAnsi="Arial" w:cs="Arial"/>
          <w:sz w:val="20"/>
        </w:rPr>
        <w:t xml:space="preserve">kommuniziert das </w:t>
      </w:r>
      <w:r w:rsidR="0047799B">
        <w:rPr>
          <w:rFonts w:ascii="Arial" w:hAnsi="Arial" w:cs="Arial"/>
          <w:sz w:val="20"/>
        </w:rPr>
        <w:t xml:space="preserve">3,6 Kilogramm schwere, </w:t>
      </w:r>
      <w:r w:rsidR="00015824">
        <w:rPr>
          <w:rFonts w:ascii="Arial" w:hAnsi="Arial" w:cs="Arial"/>
          <w:sz w:val="20"/>
        </w:rPr>
        <w:t>mobile Fahrzeugterminal mit dem stationären Rechner über die Schnittstellen Ethernet 100-BaseT/10-BaseT Autoswitch, RS232 sowie vier U</w:t>
      </w:r>
      <w:r w:rsidR="00A060B7">
        <w:rPr>
          <w:rFonts w:ascii="Arial" w:hAnsi="Arial" w:cs="Arial"/>
          <w:sz w:val="20"/>
        </w:rPr>
        <w:t xml:space="preserve">SB-Ports 2.0. </w:t>
      </w:r>
      <w:r w:rsidR="00015824">
        <w:rPr>
          <w:rFonts w:ascii="Arial" w:hAnsi="Arial" w:cs="Arial"/>
          <w:sz w:val="20"/>
        </w:rPr>
        <w:t xml:space="preserve">Über Klinkenbuchsen stehen ein Audio-Ausgang und ein Mikrofon-Eingang zur Verfügung. Wie bei allen Produkten </w:t>
      </w:r>
      <w:r w:rsidR="00F91021">
        <w:rPr>
          <w:rFonts w:ascii="Arial" w:hAnsi="Arial" w:cs="Arial"/>
          <w:sz w:val="20"/>
        </w:rPr>
        <w:t xml:space="preserve">kann das MFT12 über verschiedene Ausstattungsvarianten </w:t>
      </w:r>
      <w:r w:rsidR="004A789B">
        <w:rPr>
          <w:rFonts w:ascii="Arial" w:hAnsi="Arial" w:cs="Arial"/>
          <w:sz w:val="20"/>
        </w:rPr>
        <w:t xml:space="preserve">auf Anfrage </w:t>
      </w:r>
      <w:r w:rsidR="00F91021">
        <w:rPr>
          <w:rFonts w:ascii="Arial" w:hAnsi="Arial" w:cs="Arial"/>
          <w:sz w:val="20"/>
        </w:rPr>
        <w:t>auf die individuellen Bedürfnisse angepasst werden. D</w:t>
      </w:r>
      <w:r w:rsidR="00C326A8">
        <w:rPr>
          <w:rFonts w:ascii="Arial" w:hAnsi="Arial" w:cs="Arial"/>
          <w:sz w:val="20"/>
        </w:rPr>
        <w:t>azu zählen ein BT-kompatibler Nahbereichsfunk</w:t>
      </w:r>
      <w:r w:rsidR="0047799B">
        <w:rPr>
          <w:rFonts w:ascii="Arial" w:hAnsi="Arial" w:cs="Arial"/>
          <w:sz w:val="20"/>
        </w:rPr>
        <w:t xml:space="preserve"> V2.1</w:t>
      </w:r>
      <w:r w:rsidR="004A789B">
        <w:rPr>
          <w:rFonts w:ascii="Arial" w:hAnsi="Arial" w:cs="Arial"/>
          <w:sz w:val="20"/>
        </w:rPr>
        <w:t xml:space="preserve"> </w:t>
      </w:r>
      <w:r w:rsidR="0047799B">
        <w:rPr>
          <w:rFonts w:ascii="Arial" w:hAnsi="Arial" w:cs="Arial"/>
          <w:sz w:val="20"/>
        </w:rPr>
        <w:t>+</w:t>
      </w:r>
      <w:r w:rsidR="004A789B">
        <w:rPr>
          <w:rFonts w:ascii="Arial" w:hAnsi="Arial" w:cs="Arial"/>
          <w:sz w:val="20"/>
        </w:rPr>
        <w:t xml:space="preserve"> </w:t>
      </w:r>
      <w:r w:rsidR="0047799B">
        <w:rPr>
          <w:rFonts w:ascii="Arial" w:hAnsi="Arial" w:cs="Arial"/>
          <w:sz w:val="20"/>
        </w:rPr>
        <w:t>EDR)</w:t>
      </w:r>
      <w:r w:rsidR="00C326A8">
        <w:rPr>
          <w:rFonts w:ascii="Arial" w:hAnsi="Arial" w:cs="Arial"/>
          <w:sz w:val="20"/>
        </w:rPr>
        <w:t xml:space="preserve">, </w:t>
      </w:r>
      <w:r w:rsidR="00193F15">
        <w:rPr>
          <w:rFonts w:ascii="Arial" w:hAnsi="Arial" w:cs="Arial"/>
          <w:sz w:val="20"/>
        </w:rPr>
        <w:t>Datenfunk nach GSM, UMTS, HSPA</w:t>
      </w:r>
      <w:r w:rsidR="0047799B">
        <w:rPr>
          <w:rFonts w:ascii="Arial" w:hAnsi="Arial" w:cs="Arial"/>
          <w:sz w:val="20"/>
        </w:rPr>
        <w:t xml:space="preserve"> </w:t>
      </w:r>
      <w:r w:rsidR="00193F15">
        <w:rPr>
          <w:rFonts w:ascii="Arial" w:hAnsi="Arial" w:cs="Arial"/>
          <w:sz w:val="20"/>
        </w:rPr>
        <w:t xml:space="preserve">oder LTE sowie ein GPS-Ortungssystem. </w:t>
      </w:r>
      <w:r w:rsidR="00A060B7">
        <w:rPr>
          <w:rFonts w:ascii="Arial" w:hAnsi="Arial" w:cs="Arial"/>
          <w:sz w:val="20"/>
        </w:rPr>
        <w:t>Auf Wunsch wird das MFT12 zudem mit WLAN nach IEE</w:t>
      </w:r>
      <w:r w:rsidR="004A789B">
        <w:rPr>
          <w:rFonts w:ascii="Arial" w:hAnsi="Arial" w:cs="Arial"/>
          <w:sz w:val="20"/>
        </w:rPr>
        <w:t>E</w:t>
      </w:r>
      <w:r w:rsidR="00A060B7">
        <w:rPr>
          <w:rFonts w:ascii="Arial" w:hAnsi="Arial" w:cs="Arial"/>
          <w:sz w:val="20"/>
        </w:rPr>
        <w:t>802.11</w:t>
      </w:r>
      <w:r w:rsidR="0047799B">
        <w:rPr>
          <w:rFonts w:ascii="Arial" w:hAnsi="Arial" w:cs="Arial"/>
          <w:sz w:val="20"/>
        </w:rPr>
        <w:t>a/b/g/n, einem</w:t>
      </w:r>
      <w:r w:rsidR="00BC5D23">
        <w:rPr>
          <w:rFonts w:ascii="Arial" w:hAnsi="Arial" w:cs="Arial"/>
          <w:sz w:val="20"/>
        </w:rPr>
        <w:t xml:space="preserve"> </w:t>
      </w:r>
      <w:proofErr w:type="spellStart"/>
      <w:r w:rsidR="00BC5D23">
        <w:rPr>
          <w:rFonts w:ascii="Arial" w:hAnsi="Arial" w:cs="Arial"/>
          <w:sz w:val="20"/>
        </w:rPr>
        <w:t>miniPCI</w:t>
      </w:r>
      <w:proofErr w:type="spellEnd"/>
      <w:r w:rsidR="00BC5D23">
        <w:rPr>
          <w:rFonts w:ascii="Arial" w:hAnsi="Arial" w:cs="Arial"/>
          <w:sz w:val="20"/>
        </w:rPr>
        <w:t xml:space="preserve"> </w:t>
      </w:r>
      <w:r w:rsidR="008F5347">
        <w:rPr>
          <w:rFonts w:ascii="Arial" w:hAnsi="Arial" w:cs="Arial"/>
          <w:sz w:val="20"/>
        </w:rPr>
        <w:t>E</w:t>
      </w:r>
      <w:r w:rsidR="00BC5D23">
        <w:rPr>
          <w:rFonts w:ascii="Arial" w:hAnsi="Arial" w:cs="Arial"/>
          <w:sz w:val="20"/>
        </w:rPr>
        <w:t xml:space="preserve">xpress-Steckplatz </w:t>
      </w:r>
      <w:r w:rsidR="00A060B7">
        <w:rPr>
          <w:rFonts w:ascii="Arial" w:hAnsi="Arial" w:cs="Arial"/>
          <w:sz w:val="20"/>
        </w:rPr>
        <w:t xml:space="preserve">oder </w:t>
      </w:r>
      <w:r w:rsidR="00BC5D23">
        <w:rPr>
          <w:rFonts w:ascii="Arial" w:hAnsi="Arial" w:cs="Arial"/>
          <w:sz w:val="20"/>
        </w:rPr>
        <w:t>einem CFAST-Schnellwechsel-Slot geliefert.</w:t>
      </w:r>
      <w:r w:rsidR="008F5347">
        <w:rPr>
          <w:rFonts w:ascii="Arial" w:hAnsi="Arial" w:cs="Arial"/>
          <w:sz w:val="20"/>
        </w:rPr>
        <w:t xml:space="preserve"> Nächstes Jahr wird zudem</w:t>
      </w:r>
      <w:r w:rsidR="008F5347" w:rsidRPr="008F5347">
        <w:rPr>
          <w:rFonts w:ascii="Arial" w:hAnsi="Arial" w:cs="Arial"/>
          <w:sz w:val="20"/>
        </w:rPr>
        <w:t xml:space="preserve"> </w:t>
      </w:r>
      <w:r w:rsidR="008F5347">
        <w:rPr>
          <w:rFonts w:ascii="Arial" w:hAnsi="Arial" w:cs="Arial"/>
          <w:sz w:val="20"/>
        </w:rPr>
        <w:t>eine Variante</w:t>
      </w:r>
      <w:r w:rsidR="008F5347" w:rsidRPr="008F5347">
        <w:rPr>
          <w:rFonts w:ascii="Arial" w:hAnsi="Arial" w:cs="Arial"/>
          <w:sz w:val="20"/>
        </w:rPr>
        <w:t xml:space="preserve"> des Fahrzeugtermi</w:t>
      </w:r>
      <w:r w:rsidR="008F5347">
        <w:rPr>
          <w:rFonts w:ascii="Arial" w:hAnsi="Arial" w:cs="Arial"/>
          <w:sz w:val="20"/>
        </w:rPr>
        <w:t xml:space="preserve">nals mit </w:t>
      </w:r>
      <w:r w:rsidR="008F5347" w:rsidRPr="008F5347">
        <w:rPr>
          <w:rFonts w:ascii="Arial" w:hAnsi="Arial" w:cs="Arial"/>
          <w:sz w:val="20"/>
        </w:rPr>
        <w:t>15 Zoll großem Touchscreen erhältlich sein.</w:t>
      </w:r>
    </w:p>
    <w:p w14:paraId="5041A887" w14:textId="77777777" w:rsidR="00F3012B" w:rsidRDefault="00F3012B" w:rsidP="00A10A07">
      <w:pPr>
        <w:pStyle w:val="Textkrper"/>
        <w:tabs>
          <w:tab w:val="left" w:pos="7797"/>
        </w:tabs>
        <w:spacing w:line="288" w:lineRule="auto"/>
        <w:rPr>
          <w:sz w:val="20"/>
        </w:rPr>
      </w:pPr>
    </w:p>
    <w:p w14:paraId="01EB16D1" w14:textId="77777777" w:rsidR="00BE16F8" w:rsidRDefault="00BE16F8" w:rsidP="00A10A07">
      <w:pPr>
        <w:pStyle w:val="Textkrper"/>
        <w:tabs>
          <w:tab w:val="left" w:pos="7797"/>
        </w:tabs>
        <w:spacing w:line="288" w:lineRule="auto"/>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BE16F8" w:rsidRPr="00AC3401" w14:paraId="7137E257" w14:textId="77777777">
        <w:tc>
          <w:tcPr>
            <w:tcW w:w="4181" w:type="dxa"/>
            <w:tcBorders>
              <w:top w:val="nil"/>
              <w:left w:val="nil"/>
              <w:bottom w:val="nil"/>
              <w:right w:val="nil"/>
            </w:tcBorders>
          </w:tcPr>
          <w:p w14:paraId="32D70640" w14:textId="77777777" w:rsidR="00BE16F8" w:rsidRDefault="00BE16F8" w:rsidP="00BE16F8">
            <w:pPr>
              <w:pStyle w:val="berschrift2"/>
              <w:tabs>
                <w:tab w:val="left" w:pos="7797"/>
              </w:tabs>
              <w:spacing w:line="264" w:lineRule="auto"/>
              <w:rPr>
                <w:color w:val="000000"/>
                <w:sz w:val="18"/>
              </w:rPr>
            </w:pPr>
            <w:bookmarkStart w:id="3" w:name="OLE_LINK1"/>
            <w:bookmarkStart w:id="4" w:name="OLE_LINK2"/>
            <w:bookmarkEnd w:id="1"/>
            <w:r>
              <w:rPr>
                <w:color w:val="000000"/>
                <w:sz w:val="18"/>
              </w:rPr>
              <w:t>Weitere Informationen:</w:t>
            </w:r>
          </w:p>
          <w:p w14:paraId="7E17932D"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ACD Elektronik GmbH, Nicole Eisele</w:t>
            </w:r>
          </w:p>
          <w:p w14:paraId="69761297"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Engelberg 2, D-88480 Achstetten</w:t>
            </w:r>
          </w:p>
          <w:p w14:paraId="71B424C3"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7392 708 404</w:t>
            </w:r>
          </w:p>
          <w:p w14:paraId="26F33AFC"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Fax: +49</w:t>
            </w:r>
            <w:r>
              <w:t xml:space="preserve"> </w:t>
            </w:r>
            <w:r>
              <w:rPr>
                <w:rFonts w:ascii="Helvetica" w:hAnsi="Helvetica"/>
                <w:color w:val="000000"/>
                <w:sz w:val="18"/>
              </w:rPr>
              <w:t>7392 708 490</w:t>
            </w:r>
          </w:p>
          <w:p w14:paraId="5C2AAFFC"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nicole.eisele@acd-elektronik.de</w:t>
            </w:r>
          </w:p>
          <w:p w14:paraId="6CAE399A"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www.acd-gruppe.de</w:t>
            </w:r>
          </w:p>
        </w:tc>
        <w:tc>
          <w:tcPr>
            <w:tcW w:w="4394" w:type="dxa"/>
            <w:tcBorders>
              <w:top w:val="nil"/>
              <w:left w:val="nil"/>
              <w:bottom w:val="nil"/>
              <w:right w:val="nil"/>
            </w:tcBorders>
          </w:tcPr>
          <w:p w14:paraId="72E4A7BA" w14:textId="77777777" w:rsidR="00BE16F8" w:rsidRDefault="00BE16F8" w:rsidP="00BE16F8">
            <w:pPr>
              <w:widowControl w:val="0"/>
              <w:tabs>
                <w:tab w:val="left" w:pos="7797"/>
              </w:tabs>
              <w:spacing w:line="264" w:lineRule="auto"/>
              <w:rPr>
                <w:rFonts w:ascii="Helvetica" w:hAnsi="Helvetica"/>
                <w:b/>
                <w:color w:val="000000"/>
                <w:sz w:val="18"/>
              </w:rPr>
            </w:pPr>
            <w:r>
              <w:rPr>
                <w:rFonts w:ascii="Helvetica" w:hAnsi="Helvetica"/>
                <w:b/>
                <w:color w:val="000000"/>
                <w:sz w:val="18"/>
              </w:rPr>
              <w:t>Presse- und Öffentlichkeitsarbeit:</w:t>
            </w:r>
          </w:p>
          <w:p w14:paraId="4903823B"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 xml:space="preserve">Press’n’Relations GmbH, Desiree Müller </w:t>
            </w:r>
          </w:p>
          <w:p w14:paraId="26A7EE6C" w14:textId="77777777"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Magirusstraße 33, D-89077 Ulm</w:t>
            </w:r>
          </w:p>
          <w:p w14:paraId="137268AC" w14:textId="77777777"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 xml:space="preserve">Tel.: +49 731 96 287-32 </w:t>
            </w:r>
          </w:p>
          <w:p w14:paraId="2726543F" w14:textId="77777777"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Fax: +49 731 96 287-97</w:t>
            </w:r>
          </w:p>
          <w:p w14:paraId="047AAC7D" w14:textId="77777777"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dmt@press-n-relations.de</w:t>
            </w:r>
            <w:r>
              <w:rPr>
                <w:rFonts w:ascii="Helvetica" w:hAnsi="Helvetica"/>
                <w:color w:val="000000"/>
                <w:sz w:val="18"/>
                <w:lang w:val="it-IT"/>
              </w:rPr>
              <w:br/>
              <w:t>www.press-n-relations.de</w:t>
            </w:r>
          </w:p>
        </w:tc>
      </w:tr>
      <w:bookmarkEnd w:id="3"/>
      <w:bookmarkEnd w:id="4"/>
    </w:tbl>
    <w:p w14:paraId="07F326E2" w14:textId="77777777" w:rsidR="00BE16F8" w:rsidRDefault="00BE16F8" w:rsidP="00BE16F8">
      <w:pPr>
        <w:tabs>
          <w:tab w:val="left" w:pos="7797"/>
        </w:tabs>
        <w:rPr>
          <w:rFonts w:ascii="Helvetica" w:hAnsi="Helvetica"/>
          <w:b/>
          <w:color w:val="000000"/>
          <w:sz w:val="18"/>
          <w:lang w:val="it-IT"/>
        </w:rPr>
      </w:pPr>
    </w:p>
    <w:p w14:paraId="16276892" w14:textId="77777777" w:rsidR="00BE16F8" w:rsidRDefault="00BE16F8" w:rsidP="00BE16F8">
      <w:pPr>
        <w:tabs>
          <w:tab w:val="left" w:pos="7797"/>
        </w:tabs>
        <w:rPr>
          <w:rFonts w:ascii="Helvetica" w:hAnsi="Helvetica"/>
          <w:b/>
          <w:color w:val="000000"/>
          <w:sz w:val="18"/>
          <w:lang w:val="it-IT"/>
        </w:rPr>
      </w:pPr>
    </w:p>
    <w:p w14:paraId="00E372EC" w14:textId="77777777" w:rsidR="00BE16F8" w:rsidRDefault="00BE16F8" w:rsidP="00BE16F8">
      <w:pPr>
        <w:tabs>
          <w:tab w:val="left" w:pos="7797"/>
        </w:tabs>
        <w:rPr>
          <w:rFonts w:ascii="Helvetica" w:hAnsi="Helvetica"/>
          <w:b/>
          <w:sz w:val="18"/>
        </w:rPr>
      </w:pPr>
      <w:r>
        <w:rPr>
          <w:rFonts w:ascii="Helvetica" w:hAnsi="Helvetica"/>
          <w:b/>
          <w:sz w:val="18"/>
        </w:rPr>
        <w:t xml:space="preserve">ACD Gruppe </w:t>
      </w:r>
    </w:p>
    <w:p w14:paraId="30BC7EF5" w14:textId="77777777" w:rsidR="004E775E" w:rsidRPr="008B347D" w:rsidRDefault="004E775E" w:rsidP="008B347D">
      <w:pPr>
        <w:tabs>
          <w:tab w:val="left" w:pos="7797"/>
        </w:tabs>
        <w:rPr>
          <w:rFonts w:ascii="Helvetica" w:hAnsi="Helvetica"/>
          <w:sz w:val="18"/>
        </w:rPr>
      </w:pPr>
    </w:p>
    <w:p w14:paraId="4A5F51D3" w14:textId="023B51AD" w:rsidR="008B347D" w:rsidRDefault="00483AFD" w:rsidP="008B347D">
      <w:pPr>
        <w:tabs>
          <w:tab w:val="left" w:pos="7797"/>
        </w:tabs>
        <w:rPr>
          <w:rFonts w:ascii="Helvetica" w:hAnsi="Helvetica"/>
          <w:sz w:val="18"/>
        </w:rPr>
      </w:pPr>
      <w:r w:rsidRPr="00483AFD">
        <w:rPr>
          <w:rFonts w:ascii="Helvetica" w:hAnsi="Helvetica"/>
          <w:sz w:val="18"/>
        </w:rPr>
        <w:t xml:space="preserve">Die ACD Elektronik GmbH – ein </w:t>
      </w:r>
      <w:r>
        <w:rPr>
          <w:rFonts w:ascii="Helvetica" w:hAnsi="Helvetica"/>
          <w:sz w:val="18"/>
        </w:rPr>
        <w:t>Unterne</w:t>
      </w:r>
      <w:r w:rsidR="004A789B">
        <w:rPr>
          <w:rFonts w:ascii="Helvetica" w:hAnsi="Helvetica"/>
          <w:sz w:val="18"/>
        </w:rPr>
        <w:t>h</w:t>
      </w:r>
      <w:r>
        <w:rPr>
          <w:rFonts w:ascii="Helvetica" w:hAnsi="Helvetica"/>
          <w:sz w:val="18"/>
        </w:rPr>
        <w:t>men</w:t>
      </w:r>
      <w:r w:rsidRPr="00483AFD">
        <w:rPr>
          <w:rFonts w:ascii="Helvetica" w:hAnsi="Helvetica"/>
          <w:sz w:val="18"/>
        </w:rPr>
        <w:t xml:space="preserve"> der ACD Gruppe – ist Hersteller und Entwicklungsdienstleister im Bereich Mobile Geräte/Bediengeräte in mobilen Anwendungen für Handel, Logistik, Lebensmittelindustrie, Medizin, Industrieelektronik sowie im Energie- und Gesundheitswesen.</w:t>
      </w:r>
    </w:p>
    <w:p w14:paraId="45D2E24F" w14:textId="77777777" w:rsidR="00483AFD" w:rsidRPr="008B347D" w:rsidRDefault="00483AFD" w:rsidP="008B347D">
      <w:pPr>
        <w:tabs>
          <w:tab w:val="left" w:pos="7797"/>
        </w:tabs>
        <w:rPr>
          <w:rFonts w:ascii="Helvetica" w:hAnsi="Helvetica"/>
          <w:sz w:val="18"/>
        </w:rPr>
      </w:pPr>
    </w:p>
    <w:p w14:paraId="4640B9FB" w14:textId="77777777" w:rsidR="008B347D" w:rsidRDefault="008B347D" w:rsidP="008B347D">
      <w:pPr>
        <w:tabs>
          <w:tab w:val="left" w:pos="7797"/>
        </w:tabs>
        <w:rPr>
          <w:rFonts w:ascii="Helvetica" w:hAnsi="Helvetica"/>
          <w:sz w:val="18"/>
        </w:rPr>
      </w:pPr>
      <w:r w:rsidRPr="008B347D">
        <w:rPr>
          <w:rFonts w:ascii="Helvetica" w:hAnsi="Helvetica"/>
          <w:sz w:val="18"/>
        </w:rPr>
        <w:t>Die heutige ACD Gruppe setzt sich aus der ACD Elektronik GmbH, der ACD Systemtechnik GmbH, der ACD Antriebstechnik GmbH und der ACD Czech s.r.o. zusammen und ist in Deutschland an zwei verschiedenen Standorten vertreten, in Tschechien an einem Standort. Die Gruppe beschäftigt an allen Standorten insgesamt ca. 350 Mitarbeiter und erwirtschaftete 2014 einen Jahresumsatz von 65 Millionen Euro.</w:t>
      </w:r>
    </w:p>
    <w:p w14:paraId="3C2B9E63" w14:textId="77777777" w:rsidR="008B347D" w:rsidRDefault="008B347D" w:rsidP="008B347D">
      <w:pPr>
        <w:tabs>
          <w:tab w:val="left" w:pos="7797"/>
        </w:tabs>
        <w:rPr>
          <w:rFonts w:ascii="Helvetica" w:hAnsi="Helvetica"/>
          <w:sz w:val="18"/>
        </w:rPr>
      </w:pPr>
    </w:p>
    <w:p w14:paraId="70680B63" w14:textId="77777777" w:rsidR="008B347D" w:rsidRDefault="008B347D" w:rsidP="008B347D">
      <w:pPr>
        <w:tabs>
          <w:tab w:val="left" w:pos="7797"/>
        </w:tabs>
        <w:rPr>
          <w:rFonts w:ascii="Helvetica" w:hAnsi="Helvetica"/>
          <w:sz w:val="18"/>
        </w:rPr>
      </w:pPr>
    </w:p>
    <w:p w14:paraId="6289C37B" w14:textId="77777777" w:rsidR="00BE16F8" w:rsidRDefault="00BE16F8" w:rsidP="00BE16F8">
      <w:pPr>
        <w:tabs>
          <w:tab w:val="left" w:pos="7797"/>
        </w:tabs>
        <w:rPr>
          <w:rFonts w:ascii="Helvetica" w:hAnsi="Helvetica"/>
          <w:sz w:val="18"/>
        </w:rPr>
      </w:pPr>
    </w:p>
    <w:p w14:paraId="5A1D42E3" w14:textId="77777777" w:rsidR="00BE16F8" w:rsidRPr="00C345E6" w:rsidRDefault="00BE16F8" w:rsidP="00BE16F8">
      <w:pPr>
        <w:tabs>
          <w:tab w:val="left" w:pos="7797"/>
        </w:tabs>
        <w:rPr>
          <w:rFonts w:ascii="Helvetica" w:hAnsi="Helvetica"/>
          <w:sz w:val="18"/>
        </w:rPr>
      </w:pPr>
    </w:p>
    <w:p w14:paraId="2F9BEC50" w14:textId="77777777" w:rsidR="00BE16F8" w:rsidRPr="00C345E6" w:rsidRDefault="00BE16F8" w:rsidP="00BE16F8">
      <w:pPr>
        <w:tabs>
          <w:tab w:val="left" w:pos="7797"/>
        </w:tabs>
        <w:rPr>
          <w:rFonts w:ascii="Helvetica" w:hAnsi="Helvetica"/>
          <w:sz w:val="18"/>
        </w:rPr>
      </w:pPr>
    </w:p>
    <w:sectPr w:rsidR="00BE16F8" w:rsidRPr="00C345E6" w:rsidSect="00BE16F8">
      <w:headerReference w:type="default" r:id="rId9"/>
      <w:pgSz w:w="11900" w:h="16840"/>
      <w:pgMar w:top="1817" w:right="2121" w:bottom="993" w:left="1418" w:header="720" w:footer="544" w:gutter="0"/>
      <w:cols w:space="720"/>
      <w:noEndnote/>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eisele" w:date="2015-11-12T09:34:00Z" w:initials="neie">
    <w:p w14:paraId="318568ED" w14:textId="2B05F67B" w:rsidR="00D8056C" w:rsidRDefault="00D8056C">
      <w:pPr>
        <w:pStyle w:val="Kommentartext"/>
      </w:pPr>
      <w:r>
        <w:rPr>
          <w:rStyle w:val="Kommentarzeichen"/>
        </w:rPr>
        <w:annotationRef/>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18568E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22934F" w14:textId="77777777" w:rsidR="00855BD8" w:rsidRDefault="00855BD8">
      <w:r>
        <w:separator/>
      </w:r>
    </w:p>
  </w:endnote>
  <w:endnote w:type="continuationSeparator" w:id="0">
    <w:p w14:paraId="17725D73" w14:textId="77777777" w:rsidR="00855BD8" w:rsidRDefault="00855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00000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E7084F" w14:textId="77777777" w:rsidR="00855BD8" w:rsidRDefault="00855BD8">
      <w:r>
        <w:separator/>
      </w:r>
    </w:p>
  </w:footnote>
  <w:footnote w:type="continuationSeparator" w:id="0">
    <w:p w14:paraId="777883F5" w14:textId="77777777" w:rsidR="00855BD8" w:rsidRDefault="00855BD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06B82" w14:textId="77777777" w:rsidR="00CA153E" w:rsidRDefault="00CA153E">
    <w:pPr>
      <w:pStyle w:val="Kopfzeile"/>
    </w:pPr>
    <w:r>
      <w:rPr>
        <w:noProof/>
      </w:rPr>
      <w:drawing>
        <wp:anchor distT="0" distB="0" distL="114300" distR="114300" simplePos="0" relativeHeight="251658240" behindDoc="1" locked="0" layoutInCell="1" allowOverlap="1" wp14:anchorId="4070788A" wp14:editId="35CD2DAF">
          <wp:simplePos x="0" y="0"/>
          <wp:positionH relativeFrom="column">
            <wp:posOffset>4752128</wp:posOffset>
          </wp:positionH>
          <wp:positionV relativeFrom="paragraph">
            <wp:posOffset>-226060</wp:posOffset>
          </wp:positionV>
          <wp:extent cx="1342800" cy="543600"/>
          <wp:effectExtent l="0" t="0" r="3810" b="0"/>
          <wp:wrapNone/>
          <wp:docPr id="1" name="Bild 1" descr="../../../Volumes/PNR%20Kunden/Kunden%20A-K/ACD.KDaten/ACD-Logo.Logo/A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20Kunden/Kunden%20A-K/ACD.KDaten/ACD-Logo.Logo/AC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2800" cy="543600"/>
                  </a:xfrm>
                  <a:prstGeom prst="rect">
                    <a:avLst/>
                  </a:prstGeom>
                  <a:noFill/>
                  <a:ln>
                    <a:noFill/>
                  </a:ln>
                </pic:spPr>
              </pic:pic>
            </a:graphicData>
          </a:graphic>
        </wp:anchor>
      </w:drawing>
    </w:r>
  </w:p>
  <w:p w14:paraId="4B89344A" w14:textId="77777777" w:rsidR="002939E2" w:rsidRDefault="002939E2">
    <w:pPr>
      <w:pStyle w:val="Kopfzeile"/>
      <w:tabs>
        <w:tab w:val="clear" w:pos="9072"/>
        <w:tab w:val="right" w:pos="9540"/>
      </w:tabs>
      <w:ind w:right="1409"/>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91097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Tahoma"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Tahoma"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AD4AA0AA">
      <w:numFmt w:val="bullet"/>
      <w:lvlText w:val="-"/>
      <w:lvlJc w:val="left"/>
      <w:pPr>
        <w:tabs>
          <w:tab w:val="num" w:pos="1428"/>
        </w:tabs>
        <w:ind w:left="1428" w:hanging="360"/>
      </w:pPr>
      <w:rPr>
        <w:rFonts w:ascii="Arial" w:eastAsia="Times New Roman" w:hAnsi="Arial" w:cs="Tahoma" w:hint="default"/>
      </w:rPr>
    </w:lvl>
    <w:lvl w:ilvl="1" w:tplc="2648E09C" w:tentative="1">
      <w:start w:val="1"/>
      <w:numFmt w:val="bullet"/>
      <w:lvlText w:val="o"/>
      <w:lvlJc w:val="left"/>
      <w:pPr>
        <w:tabs>
          <w:tab w:val="num" w:pos="1440"/>
        </w:tabs>
        <w:ind w:left="1440" w:hanging="360"/>
      </w:pPr>
      <w:rPr>
        <w:rFonts w:ascii="Courier New" w:hAnsi="Courier New" w:cs="Tahoma" w:hint="default"/>
      </w:rPr>
    </w:lvl>
    <w:lvl w:ilvl="2" w:tplc="55E22D9C" w:tentative="1">
      <w:start w:val="1"/>
      <w:numFmt w:val="bullet"/>
      <w:lvlText w:val=""/>
      <w:lvlJc w:val="left"/>
      <w:pPr>
        <w:tabs>
          <w:tab w:val="num" w:pos="2160"/>
        </w:tabs>
        <w:ind w:left="2160" w:hanging="360"/>
      </w:pPr>
      <w:rPr>
        <w:rFonts w:ascii="Wingdings" w:hAnsi="Wingdings" w:hint="default"/>
      </w:rPr>
    </w:lvl>
    <w:lvl w:ilvl="3" w:tplc="2F3C805C" w:tentative="1">
      <w:start w:val="1"/>
      <w:numFmt w:val="bullet"/>
      <w:lvlText w:val=""/>
      <w:lvlJc w:val="left"/>
      <w:pPr>
        <w:tabs>
          <w:tab w:val="num" w:pos="2880"/>
        </w:tabs>
        <w:ind w:left="2880" w:hanging="360"/>
      </w:pPr>
      <w:rPr>
        <w:rFonts w:ascii="Symbol" w:hAnsi="Symbol" w:hint="default"/>
      </w:rPr>
    </w:lvl>
    <w:lvl w:ilvl="4" w:tplc="C74415CC" w:tentative="1">
      <w:start w:val="1"/>
      <w:numFmt w:val="bullet"/>
      <w:lvlText w:val="o"/>
      <w:lvlJc w:val="left"/>
      <w:pPr>
        <w:tabs>
          <w:tab w:val="num" w:pos="3600"/>
        </w:tabs>
        <w:ind w:left="3600" w:hanging="360"/>
      </w:pPr>
      <w:rPr>
        <w:rFonts w:ascii="Courier New" w:hAnsi="Courier New" w:cs="Tahoma" w:hint="default"/>
      </w:rPr>
    </w:lvl>
    <w:lvl w:ilvl="5" w:tplc="76842C90" w:tentative="1">
      <w:start w:val="1"/>
      <w:numFmt w:val="bullet"/>
      <w:lvlText w:val=""/>
      <w:lvlJc w:val="left"/>
      <w:pPr>
        <w:tabs>
          <w:tab w:val="num" w:pos="4320"/>
        </w:tabs>
        <w:ind w:left="4320" w:hanging="360"/>
      </w:pPr>
      <w:rPr>
        <w:rFonts w:ascii="Wingdings" w:hAnsi="Wingdings" w:hint="default"/>
      </w:rPr>
    </w:lvl>
    <w:lvl w:ilvl="6" w:tplc="044E746E" w:tentative="1">
      <w:start w:val="1"/>
      <w:numFmt w:val="bullet"/>
      <w:lvlText w:val=""/>
      <w:lvlJc w:val="left"/>
      <w:pPr>
        <w:tabs>
          <w:tab w:val="num" w:pos="5040"/>
        </w:tabs>
        <w:ind w:left="5040" w:hanging="360"/>
      </w:pPr>
      <w:rPr>
        <w:rFonts w:ascii="Symbol" w:hAnsi="Symbol" w:hint="default"/>
      </w:rPr>
    </w:lvl>
    <w:lvl w:ilvl="7" w:tplc="14D490C6" w:tentative="1">
      <w:start w:val="1"/>
      <w:numFmt w:val="bullet"/>
      <w:lvlText w:val="o"/>
      <w:lvlJc w:val="left"/>
      <w:pPr>
        <w:tabs>
          <w:tab w:val="num" w:pos="5760"/>
        </w:tabs>
        <w:ind w:left="5760" w:hanging="360"/>
      </w:pPr>
      <w:rPr>
        <w:rFonts w:ascii="Courier New" w:hAnsi="Courier New" w:cs="Tahoma" w:hint="default"/>
      </w:rPr>
    </w:lvl>
    <w:lvl w:ilvl="8" w:tplc="85FCAA40" w:tentative="1">
      <w:start w:val="1"/>
      <w:numFmt w:val="bullet"/>
      <w:lvlText w:val=""/>
      <w:lvlJc w:val="left"/>
      <w:pPr>
        <w:tabs>
          <w:tab w:val="num" w:pos="6480"/>
        </w:tabs>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56D32A02"/>
    <w:multiLevelType w:val="hybridMultilevel"/>
    <w:tmpl w:val="D2660CA2"/>
    <w:lvl w:ilvl="0" w:tplc="15084D1A">
      <w:numFmt w:val="bullet"/>
      <w:lvlText w:val="-"/>
      <w:lvlJc w:val="left"/>
      <w:pPr>
        <w:tabs>
          <w:tab w:val="num" w:pos="720"/>
        </w:tabs>
        <w:ind w:left="720" w:hanging="360"/>
      </w:pPr>
      <w:rPr>
        <w:rFonts w:ascii="Helvetica" w:eastAsia="Times New Roman" w:hAnsi="Helvetica" w:hint="default"/>
      </w:rPr>
    </w:lvl>
    <w:lvl w:ilvl="1" w:tplc="3F40F7A6">
      <w:start w:val="1"/>
      <w:numFmt w:val="bullet"/>
      <w:lvlText w:val="o"/>
      <w:lvlJc w:val="left"/>
      <w:pPr>
        <w:tabs>
          <w:tab w:val="num" w:pos="1440"/>
        </w:tabs>
        <w:ind w:left="1440" w:hanging="360"/>
      </w:pPr>
      <w:rPr>
        <w:rFonts w:ascii="Courier New" w:hAnsi="Courier New" w:cs="Tahoma" w:hint="default"/>
      </w:rPr>
    </w:lvl>
    <w:lvl w:ilvl="2" w:tplc="1BB6689A">
      <w:start w:val="1"/>
      <w:numFmt w:val="bullet"/>
      <w:lvlText w:val=""/>
      <w:lvlJc w:val="left"/>
      <w:pPr>
        <w:tabs>
          <w:tab w:val="num" w:pos="2160"/>
        </w:tabs>
        <w:ind w:left="2160" w:hanging="360"/>
      </w:pPr>
      <w:rPr>
        <w:rFonts w:ascii="Wingdings" w:hAnsi="Wingdings" w:cs="Tahoma" w:hint="default"/>
      </w:rPr>
    </w:lvl>
    <w:lvl w:ilvl="3" w:tplc="5F942BF0">
      <w:start w:val="1"/>
      <w:numFmt w:val="bullet"/>
      <w:lvlText w:val=""/>
      <w:lvlJc w:val="left"/>
      <w:pPr>
        <w:tabs>
          <w:tab w:val="num" w:pos="2880"/>
        </w:tabs>
        <w:ind w:left="2880" w:hanging="360"/>
      </w:pPr>
      <w:rPr>
        <w:rFonts w:ascii="Symbol" w:hAnsi="Symbol" w:cs="Tahoma" w:hint="default"/>
      </w:rPr>
    </w:lvl>
    <w:lvl w:ilvl="4" w:tplc="EB780E44">
      <w:start w:val="1"/>
      <w:numFmt w:val="bullet"/>
      <w:lvlText w:val="o"/>
      <w:lvlJc w:val="left"/>
      <w:pPr>
        <w:tabs>
          <w:tab w:val="num" w:pos="3600"/>
        </w:tabs>
        <w:ind w:left="3600" w:hanging="360"/>
      </w:pPr>
      <w:rPr>
        <w:rFonts w:ascii="Courier New" w:hAnsi="Courier New" w:cs="Tahoma" w:hint="default"/>
      </w:rPr>
    </w:lvl>
    <w:lvl w:ilvl="5" w:tplc="8D5A50EA">
      <w:start w:val="1"/>
      <w:numFmt w:val="bullet"/>
      <w:lvlText w:val=""/>
      <w:lvlJc w:val="left"/>
      <w:pPr>
        <w:tabs>
          <w:tab w:val="num" w:pos="4320"/>
        </w:tabs>
        <w:ind w:left="4320" w:hanging="360"/>
      </w:pPr>
      <w:rPr>
        <w:rFonts w:ascii="Wingdings" w:hAnsi="Wingdings" w:cs="Tahoma" w:hint="default"/>
      </w:rPr>
    </w:lvl>
    <w:lvl w:ilvl="6" w:tplc="B1A221B8">
      <w:start w:val="1"/>
      <w:numFmt w:val="bullet"/>
      <w:lvlText w:val=""/>
      <w:lvlJc w:val="left"/>
      <w:pPr>
        <w:tabs>
          <w:tab w:val="num" w:pos="5040"/>
        </w:tabs>
        <w:ind w:left="5040" w:hanging="360"/>
      </w:pPr>
      <w:rPr>
        <w:rFonts w:ascii="Symbol" w:hAnsi="Symbol" w:cs="Tahoma" w:hint="default"/>
      </w:rPr>
    </w:lvl>
    <w:lvl w:ilvl="7" w:tplc="01D80946">
      <w:start w:val="1"/>
      <w:numFmt w:val="bullet"/>
      <w:lvlText w:val="o"/>
      <w:lvlJc w:val="left"/>
      <w:pPr>
        <w:tabs>
          <w:tab w:val="num" w:pos="5760"/>
        </w:tabs>
        <w:ind w:left="5760" w:hanging="360"/>
      </w:pPr>
      <w:rPr>
        <w:rFonts w:ascii="Courier New" w:hAnsi="Courier New" w:cs="Tahoma" w:hint="default"/>
      </w:rPr>
    </w:lvl>
    <w:lvl w:ilvl="8" w:tplc="3B8AA49A">
      <w:start w:val="1"/>
      <w:numFmt w:val="bullet"/>
      <w:lvlText w:val=""/>
      <w:lvlJc w:val="left"/>
      <w:pPr>
        <w:tabs>
          <w:tab w:val="num" w:pos="6480"/>
        </w:tabs>
        <w:ind w:left="6480" w:hanging="360"/>
      </w:pPr>
      <w:rPr>
        <w:rFonts w:ascii="Wingdings" w:hAnsi="Wingdings" w:cs="Tahoma" w:hint="default"/>
      </w:rPr>
    </w:lvl>
  </w:abstractNum>
  <w:abstractNum w:abstractNumId="6">
    <w:nsid w:val="6F5A3163"/>
    <w:multiLevelType w:val="multilevel"/>
    <w:tmpl w:val="9FAAAF3A"/>
    <w:lvl w:ilvl="0">
      <w:start w:val="1"/>
      <w:numFmt w:val="bullet"/>
      <w:lvlText w:val="o"/>
      <w:lvlJc w:val="left"/>
      <w:pPr>
        <w:tabs>
          <w:tab w:val="num" w:pos="720"/>
        </w:tabs>
        <w:ind w:left="720" w:hanging="360"/>
      </w:pPr>
      <w:rPr>
        <w:rFonts w:ascii="Courier New" w:hAnsi="Courier New" w:cs="Tahoma" w:hint="default"/>
      </w:rPr>
    </w:lvl>
    <w:lvl w:ilvl="1">
      <w:start w:val="1"/>
      <w:numFmt w:val="bullet"/>
      <w:lvlText w:val="o"/>
      <w:lvlJc w:val="left"/>
      <w:pPr>
        <w:tabs>
          <w:tab w:val="num" w:pos="1440"/>
        </w:tabs>
        <w:ind w:left="1440" w:hanging="360"/>
      </w:pPr>
      <w:rPr>
        <w:rFonts w:ascii="Courier New" w:hAnsi="Courier New" w:cs="Tahoma" w:hint="default"/>
      </w:rPr>
    </w:lvl>
    <w:lvl w:ilvl="2">
      <w:start w:val="1"/>
      <w:numFmt w:val="bullet"/>
      <w:lvlText w:val=""/>
      <w:lvlJc w:val="left"/>
      <w:pPr>
        <w:tabs>
          <w:tab w:val="num" w:pos="2160"/>
        </w:tabs>
        <w:ind w:left="2160" w:hanging="360"/>
      </w:pPr>
      <w:rPr>
        <w:rFonts w:ascii="Wingdings" w:hAnsi="Wingdings" w:cs="Tahoma"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Tahoma" w:hint="default"/>
      </w:rPr>
    </w:lvl>
    <w:lvl w:ilvl="5">
      <w:start w:val="1"/>
      <w:numFmt w:val="bullet"/>
      <w:lvlText w:val=""/>
      <w:lvlJc w:val="left"/>
      <w:pPr>
        <w:tabs>
          <w:tab w:val="num" w:pos="4320"/>
        </w:tabs>
        <w:ind w:left="4320" w:hanging="360"/>
      </w:pPr>
      <w:rPr>
        <w:rFonts w:ascii="Wingdings" w:hAnsi="Wingdings" w:cs="Tahoma"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Tahoma" w:hint="default"/>
      </w:rPr>
    </w:lvl>
    <w:lvl w:ilvl="8">
      <w:start w:val="1"/>
      <w:numFmt w:val="bullet"/>
      <w:lvlText w:val=""/>
      <w:lvlJc w:val="left"/>
      <w:pPr>
        <w:tabs>
          <w:tab w:val="num" w:pos="6480"/>
        </w:tabs>
        <w:ind w:left="6480" w:hanging="360"/>
      </w:pPr>
      <w:rPr>
        <w:rFonts w:ascii="Wingdings" w:hAnsi="Wingdings" w:cs="Tahoma" w:hint="default"/>
      </w:rPr>
    </w:lvl>
  </w:abstractNum>
  <w:abstractNum w:abstractNumId="7">
    <w:nsid w:val="72044E0F"/>
    <w:multiLevelType w:val="hybridMultilevel"/>
    <w:tmpl w:val="48C66A60"/>
    <w:lvl w:ilvl="0" w:tplc="214CB024">
      <w:numFmt w:val="bullet"/>
      <w:lvlText w:val="-"/>
      <w:lvlJc w:val="left"/>
      <w:pPr>
        <w:tabs>
          <w:tab w:val="num" w:pos="1428"/>
        </w:tabs>
        <w:ind w:left="1428" w:hanging="360"/>
      </w:pPr>
      <w:rPr>
        <w:rFonts w:ascii="Arial" w:eastAsia="Times New Roman" w:hAnsi="Arial" w:cs="Tahoma" w:hint="default"/>
      </w:rPr>
    </w:lvl>
    <w:lvl w:ilvl="1" w:tplc="DD5A5D92">
      <w:start w:val="1"/>
      <w:numFmt w:val="bullet"/>
      <w:lvlText w:val="o"/>
      <w:lvlJc w:val="left"/>
      <w:pPr>
        <w:tabs>
          <w:tab w:val="num" w:pos="2148"/>
        </w:tabs>
        <w:ind w:left="2148" w:hanging="360"/>
      </w:pPr>
      <w:rPr>
        <w:rFonts w:ascii="Courier New" w:hAnsi="Courier New" w:cs="Tahoma" w:hint="default"/>
      </w:rPr>
    </w:lvl>
    <w:lvl w:ilvl="2" w:tplc="37F2CFA0" w:tentative="1">
      <w:start w:val="1"/>
      <w:numFmt w:val="bullet"/>
      <w:lvlText w:val=""/>
      <w:lvlJc w:val="left"/>
      <w:pPr>
        <w:tabs>
          <w:tab w:val="num" w:pos="2868"/>
        </w:tabs>
        <w:ind w:left="2868" w:hanging="360"/>
      </w:pPr>
      <w:rPr>
        <w:rFonts w:ascii="Wingdings" w:hAnsi="Wingdings" w:hint="default"/>
      </w:rPr>
    </w:lvl>
    <w:lvl w:ilvl="3" w:tplc="DEF894EC" w:tentative="1">
      <w:start w:val="1"/>
      <w:numFmt w:val="bullet"/>
      <w:lvlText w:val=""/>
      <w:lvlJc w:val="left"/>
      <w:pPr>
        <w:tabs>
          <w:tab w:val="num" w:pos="3588"/>
        </w:tabs>
        <w:ind w:left="3588" w:hanging="360"/>
      </w:pPr>
      <w:rPr>
        <w:rFonts w:ascii="Symbol" w:hAnsi="Symbol" w:hint="default"/>
      </w:rPr>
    </w:lvl>
    <w:lvl w:ilvl="4" w:tplc="86CE20BE" w:tentative="1">
      <w:start w:val="1"/>
      <w:numFmt w:val="bullet"/>
      <w:lvlText w:val="o"/>
      <w:lvlJc w:val="left"/>
      <w:pPr>
        <w:tabs>
          <w:tab w:val="num" w:pos="4308"/>
        </w:tabs>
        <w:ind w:left="4308" w:hanging="360"/>
      </w:pPr>
      <w:rPr>
        <w:rFonts w:ascii="Courier New" w:hAnsi="Courier New" w:cs="Tahoma" w:hint="default"/>
      </w:rPr>
    </w:lvl>
    <w:lvl w:ilvl="5" w:tplc="8DF0A396" w:tentative="1">
      <w:start w:val="1"/>
      <w:numFmt w:val="bullet"/>
      <w:lvlText w:val=""/>
      <w:lvlJc w:val="left"/>
      <w:pPr>
        <w:tabs>
          <w:tab w:val="num" w:pos="5028"/>
        </w:tabs>
        <w:ind w:left="5028" w:hanging="360"/>
      </w:pPr>
      <w:rPr>
        <w:rFonts w:ascii="Wingdings" w:hAnsi="Wingdings" w:hint="default"/>
      </w:rPr>
    </w:lvl>
    <w:lvl w:ilvl="6" w:tplc="32E4E1FA" w:tentative="1">
      <w:start w:val="1"/>
      <w:numFmt w:val="bullet"/>
      <w:lvlText w:val=""/>
      <w:lvlJc w:val="left"/>
      <w:pPr>
        <w:tabs>
          <w:tab w:val="num" w:pos="5748"/>
        </w:tabs>
        <w:ind w:left="5748" w:hanging="360"/>
      </w:pPr>
      <w:rPr>
        <w:rFonts w:ascii="Symbol" w:hAnsi="Symbol" w:hint="default"/>
      </w:rPr>
    </w:lvl>
    <w:lvl w:ilvl="7" w:tplc="B78AA842" w:tentative="1">
      <w:start w:val="1"/>
      <w:numFmt w:val="bullet"/>
      <w:lvlText w:val="o"/>
      <w:lvlJc w:val="left"/>
      <w:pPr>
        <w:tabs>
          <w:tab w:val="num" w:pos="6468"/>
        </w:tabs>
        <w:ind w:left="6468" w:hanging="360"/>
      </w:pPr>
      <w:rPr>
        <w:rFonts w:ascii="Courier New" w:hAnsi="Courier New" w:cs="Tahoma" w:hint="default"/>
      </w:rPr>
    </w:lvl>
    <w:lvl w:ilvl="8" w:tplc="91D88C02" w:tentative="1">
      <w:start w:val="1"/>
      <w:numFmt w:val="bullet"/>
      <w:lvlText w:val=""/>
      <w:lvlJc w:val="left"/>
      <w:pPr>
        <w:tabs>
          <w:tab w:val="num" w:pos="7188"/>
        </w:tabs>
        <w:ind w:left="7188" w:hanging="360"/>
      </w:pPr>
      <w:rPr>
        <w:rFonts w:ascii="Wingdings" w:hAnsi="Wingdings" w:hint="default"/>
      </w:rPr>
    </w:lvl>
  </w:abstractNum>
  <w:abstractNum w:abstractNumId="8">
    <w:nsid w:val="776C345D"/>
    <w:multiLevelType w:val="hybridMultilevel"/>
    <w:tmpl w:val="148459C4"/>
    <w:lvl w:ilvl="0" w:tplc="EE06E0CC">
      <w:start w:val="1"/>
      <w:numFmt w:val="bullet"/>
      <w:lvlText w:val=""/>
      <w:lvlJc w:val="left"/>
      <w:pPr>
        <w:ind w:left="720" w:hanging="360"/>
      </w:pPr>
      <w:rPr>
        <w:rFonts w:ascii="Symbol" w:hAnsi="Symbol" w:hint="default"/>
      </w:rPr>
    </w:lvl>
    <w:lvl w:ilvl="1" w:tplc="AAA89282">
      <w:start w:val="1"/>
      <w:numFmt w:val="bullet"/>
      <w:lvlText w:val="o"/>
      <w:lvlJc w:val="left"/>
      <w:pPr>
        <w:ind w:left="1440" w:hanging="360"/>
      </w:pPr>
      <w:rPr>
        <w:rFonts w:ascii="Courier New" w:hAnsi="Courier New" w:hint="default"/>
      </w:rPr>
    </w:lvl>
    <w:lvl w:ilvl="2" w:tplc="F1B42C20" w:tentative="1">
      <w:start w:val="1"/>
      <w:numFmt w:val="bullet"/>
      <w:lvlText w:val=""/>
      <w:lvlJc w:val="left"/>
      <w:pPr>
        <w:ind w:left="2160" w:hanging="360"/>
      </w:pPr>
      <w:rPr>
        <w:rFonts w:ascii="Wingdings" w:hAnsi="Wingdings" w:hint="default"/>
      </w:rPr>
    </w:lvl>
    <w:lvl w:ilvl="3" w:tplc="3B0A36E6" w:tentative="1">
      <w:start w:val="1"/>
      <w:numFmt w:val="bullet"/>
      <w:lvlText w:val=""/>
      <w:lvlJc w:val="left"/>
      <w:pPr>
        <w:ind w:left="2880" w:hanging="360"/>
      </w:pPr>
      <w:rPr>
        <w:rFonts w:ascii="Symbol" w:hAnsi="Symbol" w:hint="default"/>
      </w:rPr>
    </w:lvl>
    <w:lvl w:ilvl="4" w:tplc="8C52AFD0" w:tentative="1">
      <w:start w:val="1"/>
      <w:numFmt w:val="bullet"/>
      <w:lvlText w:val="o"/>
      <w:lvlJc w:val="left"/>
      <w:pPr>
        <w:ind w:left="3600" w:hanging="360"/>
      </w:pPr>
      <w:rPr>
        <w:rFonts w:ascii="Courier New" w:hAnsi="Courier New" w:hint="default"/>
      </w:rPr>
    </w:lvl>
    <w:lvl w:ilvl="5" w:tplc="7424F710" w:tentative="1">
      <w:start w:val="1"/>
      <w:numFmt w:val="bullet"/>
      <w:lvlText w:val=""/>
      <w:lvlJc w:val="left"/>
      <w:pPr>
        <w:ind w:left="4320" w:hanging="360"/>
      </w:pPr>
      <w:rPr>
        <w:rFonts w:ascii="Wingdings" w:hAnsi="Wingdings" w:hint="default"/>
      </w:rPr>
    </w:lvl>
    <w:lvl w:ilvl="6" w:tplc="A6B4D596" w:tentative="1">
      <w:start w:val="1"/>
      <w:numFmt w:val="bullet"/>
      <w:lvlText w:val=""/>
      <w:lvlJc w:val="left"/>
      <w:pPr>
        <w:ind w:left="5040" w:hanging="360"/>
      </w:pPr>
      <w:rPr>
        <w:rFonts w:ascii="Symbol" w:hAnsi="Symbol" w:hint="default"/>
      </w:rPr>
    </w:lvl>
    <w:lvl w:ilvl="7" w:tplc="87D43670" w:tentative="1">
      <w:start w:val="1"/>
      <w:numFmt w:val="bullet"/>
      <w:lvlText w:val="o"/>
      <w:lvlJc w:val="left"/>
      <w:pPr>
        <w:ind w:left="5760" w:hanging="360"/>
      </w:pPr>
      <w:rPr>
        <w:rFonts w:ascii="Courier New" w:hAnsi="Courier New" w:hint="default"/>
      </w:rPr>
    </w:lvl>
    <w:lvl w:ilvl="8" w:tplc="E4C4C654"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8"/>
  </w:num>
  <w:num w:numId="7">
    <w:abstractNumId w:val="4"/>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revisionView w:markup="0"/>
  <w:defaultTabStop w:val="708"/>
  <w:autoHyphenation/>
  <w:hyphenationZone w:val="425"/>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177"/>
    <w:rsid w:val="00015824"/>
    <w:rsid w:val="00032CBB"/>
    <w:rsid w:val="00035E38"/>
    <w:rsid w:val="0005254F"/>
    <w:rsid w:val="00083184"/>
    <w:rsid w:val="00095800"/>
    <w:rsid w:val="0009582F"/>
    <w:rsid w:val="000B2261"/>
    <w:rsid w:val="000C53BA"/>
    <w:rsid w:val="000F4DA0"/>
    <w:rsid w:val="000F6265"/>
    <w:rsid w:val="001040E2"/>
    <w:rsid w:val="001074DD"/>
    <w:rsid w:val="001169AE"/>
    <w:rsid w:val="001303D6"/>
    <w:rsid w:val="001832D7"/>
    <w:rsid w:val="00184222"/>
    <w:rsid w:val="00193F15"/>
    <w:rsid w:val="00194DCB"/>
    <w:rsid w:val="001A495C"/>
    <w:rsid w:val="001A6B5D"/>
    <w:rsid w:val="001F729A"/>
    <w:rsid w:val="00206C75"/>
    <w:rsid w:val="00234E82"/>
    <w:rsid w:val="00260CDD"/>
    <w:rsid w:val="00281738"/>
    <w:rsid w:val="00281FE6"/>
    <w:rsid w:val="00293281"/>
    <w:rsid w:val="002939E2"/>
    <w:rsid w:val="002C213D"/>
    <w:rsid w:val="002D7BAE"/>
    <w:rsid w:val="00307E86"/>
    <w:rsid w:val="00327EB9"/>
    <w:rsid w:val="003758CB"/>
    <w:rsid w:val="00387C41"/>
    <w:rsid w:val="0039703F"/>
    <w:rsid w:val="003A1A50"/>
    <w:rsid w:val="003A3FB2"/>
    <w:rsid w:val="003D57DB"/>
    <w:rsid w:val="003F6280"/>
    <w:rsid w:val="003F6FCA"/>
    <w:rsid w:val="00436757"/>
    <w:rsid w:val="004535BF"/>
    <w:rsid w:val="0047799B"/>
    <w:rsid w:val="00483AFD"/>
    <w:rsid w:val="004A3D57"/>
    <w:rsid w:val="004A6EC9"/>
    <w:rsid w:val="004A789B"/>
    <w:rsid w:val="004B2745"/>
    <w:rsid w:val="004C0C34"/>
    <w:rsid w:val="004E3117"/>
    <w:rsid w:val="004E7359"/>
    <w:rsid w:val="004E775E"/>
    <w:rsid w:val="004F21D9"/>
    <w:rsid w:val="005101F6"/>
    <w:rsid w:val="00535E0C"/>
    <w:rsid w:val="00543128"/>
    <w:rsid w:val="00553593"/>
    <w:rsid w:val="005605FF"/>
    <w:rsid w:val="00593E8A"/>
    <w:rsid w:val="005B3C1F"/>
    <w:rsid w:val="005B5B64"/>
    <w:rsid w:val="005D020C"/>
    <w:rsid w:val="005E5801"/>
    <w:rsid w:val="006034DF"/>
    <w:rsid w:val="006171AD"/>
    <w:rsid w:val="006300C6"/>
    <w:rsid w:val="006333D2"/>
    <w:rsid w:val="006440C9"/>
    <w:rsid w:val="006511B4"/>
    <w:rsid w:val="00651E2F"/>
    <w:rsid w:val="006561CB"/>
    <w:rsid w:val="00672606"/>
    <w:rsid w:val="006875C0"/>
    <w:rsid w:val="006B7BB7"/>
    <w:rsid w:val="006C740A"/>
    <w:rsid w:val="00732BBD"/>
    <w:rsid w:val="007364A3"/>
    <w:rsid w:val="00743274"/>
    <w:rsid w:val="00763329"/>
    <w:rsid w:val="0077248A"/>
    <w:rsid w:val="007770DF"/>
    <w:rsid w:val="007A7733"/>
    <w:rsid w:val="007B3938"/>
    <w:rsid w:val="007B756A"/>
    <w:rsid w:val="00820B67"/>
    <w:rsid w:val="008231AF"/>
    <w:rsid w:val="00855BD8"/>
    <w:rsid w:val="0086794A"/>
    <w:rsid w:val="0089053E"/>
    <w:rsid w:val="0089267A"/>
    <w:rsid w:val="008A20E1"/>
    <w:rsid w:val="008A5D9F"/>
    <w:rsid w:val="008B347D"/>
    <w:rsid w:val="008C5623"/>
    <w:rsid w:val="008E1B9D"/>
    <w:rsid w:val="008F5347"/>
    <w:rsid w:val="0094428A"/>
    <w:rsid w:val="00975B75"/>
    <w:rsid w:val="00986A17"/>
    <w:rsid w:val="00991B8A"/>
    <w:rsid w:val="00997193"/>
    <w:rsid w:val="009A0FB1"/>
    <w:rsid w:val="009B505B"/>
    <w:rsid w:val="009D2992"/>
    <w:rsid w:val="009E07DB"/>
    <w:rsid w:val="009F1B50"/>
    <w:rsid w:val="009F1DB7"/>
    <w:rsid w:val="00A02AD9"/>
    <w:rsid w:val="00A060B7"/>
    <w:rsid w:val="00A10A07"/>
    <w:rsid w:val="00A20343"/>
    <w:rsid w:val="00A277B5"/>
    <w:rsid w:val="00A365E0"/>
    <w:rsid w:val="00A43008"/>
    <w:rsid w:val="00A5021D"/>
    <w:rsid w:val="00A5288E"/>
    <w:rsid w:val="00A528A7"/>
    <w:rsid w:val="00A75A6C"/>
    <w:rsid w:val="00A93DA7"/>
    <w:rsid w:val="00A93F78"/>
    <w:rsid w:val="00AC3401"/>
    <w:rsid w:val="00AC5DC8"/>
    <w:rsid w:val="00B02A05"/>
    <w:rsid w:val="00B24997"/>
    <w:rsid w:val="00B27587"/>
    <w:rsid w:val="00B3362A"/>
    <w:rsid w:val="00B420DF"/>
    <w:rsid w:val="00B45D27"/>
    <w:rsid w:val="00B71177"/>
    <w:rsid w:val="00B912BE"/>
    <w:rsid w:val="00B92DC9"/>
    <w:rsid w:val="00BC401C"/>
    <w:rsid w:val="00BC5D23"/>
    <w:rsid w:val="00BD57A5"/>
    <w:rsid w:val="00BE10CA"/>
    <w:rsid w:val="00BE16F8"/>
    <w:rsid w:val="00C326A8"/>
    <w:rsid w:val="00C47A7C"/>
    <w:rsid w:val="00C5335F"/>
    <w:rsid w:val="00C96E44"/>
    <w:rsid w:val="00CA153E"/>
    <w:rsid w:val="00CA565A"/>
    <w:rsid w:val="00CC0BD6"/>
    <w:rsid w:val="00CC5C9E"/>
    <w:rsid w:val="00CD7E63"/>
    <w:rsid w:val="00D04FD3"/>
    <w:rsid w:val="00D14C10"/>
    <w:rsid w:val="00D26D23"/>
    <w:rsid w:val="00D42507"/>
    <w:rsid w:val="00D42ED1"/>
    <w:rsid w:val="00D8056C"/>
    <w:rsid w:val="00D848A8"/>
    <w:rsid w:val="00D95900"/>
    <w:rsid w:val="00DA3AAC"/>
    <w:rsid w:val="00DC3B75"/>
    <w:rsid w:val="00E062E2"/>
    <w:rsid w:val="00E116A0"/>
    <w:rsid w:val="00E31919"/>
    <w:rsid w:val="00E34C8E"/>
    <w:rsid w:val="00E53619"/>
    <w:rsid w:val="00E54074"/>
    <w:rsid w:val="00E850E3"/>
    <w:rsid w:val="00E87553"/>
    <w:rsid w:val="00EA5BC4"/>
    <w:rsid w:val="00ED04FB"/>
    <w:rsid w:val="00EE70C0"/>
    <w:rsid w:val="00EF0590"/>
    <w:rsid w:val="00F115C8"/>
    <w:rsid w:val="00F3012B"/>
    <w:rsid w:val="00F33E0E"/>
    <w:rsid w:val="00F64881"/>
    <w:rsid w:val="00F85C6F"/>
    <w:rsid w:val="00F91021"/>
    <w:rsid w:val="00FA5370"/>
    <w:rsid w:val="00FE2BFD"/>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9A2E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97193"/>
    <w:rPr>
      <w:rFonts w:ascii="Times" w:hAnsi="Times"/>
      <w:sz w:val="24"/>
    </w:rPr>
  </w:style>
  <w:style w:type="paragraph" w:styleId="berschrift1">
    <w:name w:val="heading 1"/>
    <w:basedOn w:val="Standard"/>
    <w:next w:val="Standard"/>
    <w:qFormat/>
    <w:rsid w:val="00997193"/>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997193"/>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997193"/>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997193"/>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997193"/>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997193"/>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rsid w:val="009971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997193"/>
    <w:pPr>
      <w:autoSpaceDE w:val="0"/>
      <w:autoSpaceDN w:val="0"/>
    </w:pPr>
    <w:rPr>
      <w:rFonts w:ascii="Helvetica" w:hAnsi="Helvetica" w:cs="Helvetica"/>
      <w:sz w:val="18"/>
      <w:szCs w:val="18"/>
    </w:rPr>
  </w:style>
  <w:style w:type="paragraph" w:styleId="Fuzeile">
    <w:name w:val="footer"/>
    <w:basedOn w:val="Standard"/>
    <w:rsid w:val="00997193"/>
    <w:pPr>
      <w:tabs>
        <w:tab w:val="center" w:pos="4536"/>
        <w:tab w:val="right" w:pos="9072"/>
      </w:tabs>
    </w:pPr>
  </w:style>
  <w:style w:type="paragraph" w:styleId="Sprechblasentext">
    <w:name w:val="Balloon Text"/>
    <w:basedOn w:val="Standard"/>
    <w:semiHidden/>
    <w:rsid w:val="00997193"/>
    <w:pPr>
      <w:autoSpaceDE w:val="0"/>
      <w:autoSpaceDN w:val="0"/>
    </w:pPr>
    <w:rPr>
      <w:rFonts w:ascii="Tahoma" w:hAnsi="Tahoma" w:cs="Courier New"/>
      <w:sz w:val="16"/>
      <w:szCs w:val="16"/>
    </w:rPr>
  </w:style>
  <w:style w:type="paragraph" w:styleId="Textkrper3">
    <w:name w:val="Body Text 3"/>
    <w:basedOn w:val="Standard"/>
    <w:rsid w:val="00997193"/>
    <w:rPr>
      <w:rFonts w:ascii="Helvetica" w:hAnsi="Helvetica"/>
      <w:sz w:val="20"/>
    </w:rPr>
  </w:style>
  <w:style w:type="paragraph" w:styleId="Textkrper-Zeileneinzug">
    <w:name w:val="Body Text Indent"/>
    <w:basedOn w:val="Standard"/>
    <w:rsid w:val="00997193"/>
    <w:pPr>
      <w:ind w:left="567"/>
    </w:pPr>
    <w:rPr>
      <w:rFonts w:ascii="Helvetica" w:eastAsia="Times" w:hAnsi="Helvetica"/>
      <w:sz w:val="20"/>
    </w:rPr>
  </w:style>
  <w:style w:type="character" w:styleId="Link">
    <w:name w:val="Hyperlink"/>
    <w:rsid w:val="00997193"/>
    <w:rPr>
      <w:color w:val="0000FF"/>
      <w:u w:val="single"/>
    </w:rPr>
  </w:style>
  <w:style w:type="character" w:customStyle="1" w:styleId="KopfzeileZeichen">
    <w:name w:val="Kopfzeile Zeichen"/>
    <w:rsid w:val="00997193"/>
    <w:rPr>
      <w:rFonts w:ascii="Helvetica" w:hAnsi="Helvetica" w:cs="Helvetica"/>
      <w:sz w:val="22"/>
      <w:szCs w:val="22"/>
    </w:rPr>
  </w:style>
  <w:style w:type="character" w:customStyle="1" w:styleId="apple-style-span">
    <w:name w:val="apple-style-span"/>
    <w:basedOn w:val="Absatz-Standardschriftart"/>
    <w:rsid w:val="00997193"/>
  </w:style>
  <w:style w:type="character" w:styleId="Kommentarzeichen">
    <w:name w:val="annotation reference"/>
    <w:rsid w:val="00997193"/>
    <w:rPr>
      <w:sz w:val="16"/>
    </w:rPr>
  </w:style>
  <w:style w:type="paragraph" w:styleId="Kommentartext">
    <w:name w:val="annotation text"/>
    <w:basedOn w:val="Standard"/>
    <w:link w:val="KommentartextZchn"/>
    <w:rsid w:val="00997193"/>
    <w:rPr>
      <w:sz w:val="20"/>
    </w:rPr>
  </w:style>
  <w:style w:type="paragraph" w:styleId="Kommentarthema">
    <w:name w:val="annotation subject"/>
    <w:basedOn w:val="Kommentartext"/>
    <w:next w:val="Kommentartext"/>
    <w:link w:val="KommentarthemaZchn"/>
    <w:uiPriority w:val="99"/>
    <w:semiHidden/>
    <w:unhideWhenUsed/>
    <w:rsid w:val="007742FD"/>
    <w:rPr>
      <w:b/>
      <w:bCs/>
    </w:rPr>
  </w:style>
  <w:style w:type="character" w:customStyle="1" w:styleId="KommentartextZchn">
    <w:name w:val="Kommentartext Zchn"/>
    <w:link w:val="Kommentartext"/>
    <w:rsid w:val="007742FD"/>
    <w:rPr>
      <w:rFonts w:ascii="Times" w:hAnsi="Times"/>
    </w:rPr>
  </w:style>
  <w:style w:type="character" w:customStyle="1" w:styleId="KommentarthemaZchn">
    <w:name w:val="Kommentarthema Zchn"/>
    <w:basedOn w:val="KommentartextZchn"/>
    <w:link w:val="Kommentarthema"/>
    <w:rsid w:val="007742FD"/>
    <w:rPr>
      <w:rFonts w:ascii="Times" w:hAnsi="Times"/>
    </w:rPr>
  </w:style>
  <w:style w:type="character" w:styleId="BesuchterLink">
    <w:name w:val="FollowedHyperlink"/>
    <w:uiPriority w:val="99"/>
    <w:semiHidden/>
    <w:unhideWhenUsed/>
    <w:rsid w:val="005563A6"/>
    <w:rPr>
      <w:color w:val="800080"/>
      <w:u w:val="single"/>
    </w:rPr>
  </w:style>
  <w:style w:type="character" w:customStyle="1" w:styleId="KopfzeileZchn">
    <w:name w:val="Kopfzeile Zchn"/>
    <w:basedOn w:val="Absatz-Standardschriftart"/>
    <w:link w:val="Kopfzeile"/>
    <w:uiPriority w:val="99"/>
    <w:rsid w:val="00CA153E"/>
    <w:rPr>
      <w:rFonts w:ascii="Helvetica" w:hAnsi="Helvetica" w:cs="Helvetic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8255301">
      <w:bodyDiv w:val="1"/>
      <w:marLeft w:val="0"/>
      <w:marRight w:val="0"/>
      <w:marTop w:val="0"/>
      <w:marBottom w:val="0"/>
      <w:divBdr>
        <w:top w:val="none" w:sz="0" w:space="0" w:color="auto"/>
        <w:left w:val="none" w:sz="0" w:space="0" w:color="auto"/>
        <w:bottom w:val="none" w:sz="0" w:space="0" w:color="auto"/>
        <w:right w:val="none" w:sz="0" w:space="0" w:color="auto"/>
      </w:divBdr>
    </w:div>
    <w:div w:id="20199601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omments" Target="comments.xml"/><Relationship Id="rId8" Type="http://schemas.microsoft.com/office/2011/relationships/commentsExtended" Target="commentsExtended.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3880</Characters>
  <Application>Microsoft Macintosh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AKTIF Technology GmbH</Company>
  <LinksUpToDate>false</LinksUpToDate>
  <CharactersWithSpaces>4487</CharactersWithSpaces>
  <SharedDoc>false</SharedDoc>
  <HLinks>
    <vt:vector size="12" baseType="variant">
      <vt:variant>
        <vt:i4>103</vt:i4>
      </vt:variant>
      <vt:variant>
        <vt:i4>0</vt:i4>
      </vt:variant>
      <vt:variant>
        <vt:i4>0</vt:i4>
      </vt:variant>
      <vt:variant>
        <vt:i4>5</vt:i4>
      </vt:variant>
      <vt:variant>
        <vt:lpwstr>http://www.medtech-pharma.de/deutsch/branchen-infos/mitglieder-datenbank/alphabetische-liste.aspx</vt:lpwstr>
      </vt:variant>
      <vt:variant>
        <vt:lpwstr/>
      </vt:variant>
      <vt:variant>
        <vt:i4>6160452</vt:i4>
      </vt:variant>
      <vt:variant>
        <vt:i4>-1</vt:i4>
      </vt:variant>
      <vt:variant>
        <vt:i4>2049</vt:i4>
      </vt:variant>
      <vt:variant>
        <vt:i4>1</vt:i4>
      </vt:variant>
      <vt:variant>
        <vt:lpwstr>ACD-Logo-RGB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Desiree Müller</cp:lastModifiedBy>
  <cp:revision>2</cp:revision>
  <cp:lastPrinted>2015-11-10T14:01:00Z</cp:lastPrinted>
  <dcterms:created xsi:type="dcterms:W3CDTF">2016-01-19T09:59:00Z</dcterms:created>
  <dcterms:modified xsi:type="dcterms:W3CDTF">2016-01-19T09:59:00Z</dcterms:modified>
</cp:coreProperties>
</file>