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6F8" w:rsidRDefault="00BE16F8">
      <w:pPr>
        <w:pStyle w:val="berschrift4"/>
        <w:spacing w:line="264" w:lineRule="auto"/>
        <w:ind w:right="-8"/>
        <w:rPr>
          <w:b/>
          <w:sz w:val="26"/>
        </w:rPr>
      </w:pPr>
      <w:r>
        <w:rPr>
          <w:b/>
          <w:sz w:val="26"/>
        </w:rPr>
        <w:t>Presseinformation</w:t>
      </w:r>
    </w:p>
    <w:p w:rsidR="00BE16F8" w:rsidRDefault="00BE16F8">
      <w:pPr>
        <w:widowControl w:val="0"/>
        <w:autoSpaceDE w:val="0"/>
        <w:autoSpaceDN w:val="0"/>
        <w:adjustRightInd w:val="0"/>
        <w:spacing w:line="264" w:lineRule="auto"/>
        <w:ind w:right="267"/>
        <w:rPr>
          <w:sz w:val="20"/>
        </w:rPr>
      </w:pPr>
    </w:p>
    <w:p w:rsidR="00BE16F8" w:rsidRDefault="00BE16F8">
      <w:pPr>
        <w:pStyle w:val="Kopfzeile"/>
        <w:tabs>
          <w:tab w:val="clear" w:pos="4536"/>
          <w:tab w:val="clear" w:pos="9072"/>
        </w:tabs>
        <w:spacing w:line="264" w:lineRule="auto"/>
        <w:ind w:right="267"/>
        <w:rPr>
          <w:sz w:val="20"/>
        </w:rPr>
      </w:pPr>
      <w:r>
        <w:rPr>
          <w:sz w:val="20"/>
        </w:rPr>
        <w:t xml:space="preserve">Achstetten, </w:t>
      </w:r>
      <w:r w:rsidR="00E062E2">
        <w:rPr>
          <w:sz w:val="20"/>
        </w:rPr>
        <w:t>7</w:t>
      </w:r>
      <w:r w:rsidR="006034DF">
        <w:rPr>
          <w:sz w:val="20"/>
        </w:rPr>
        <w:t xml:space="preserve">. </w:t>
      </w:r>
      <w:r w:rsidR="00F64881">
        <w:rPr>
          <w:sz w:val="20"/>
        </w:rPr>
        <w:t>Juli</w:t>
      </w:r>
      <w:r>
        <w:rPr>
          <w:sz w:val="20"/>
        </w:rPr>
        <w:t xml:space="preserve"> 2015</w:t>
      </w:r>
    </w:p>
    <w:p w:rsidR="00BE16F8" w:rsidRDefault="00BE16F8">
      <w:pPr>
        <w:autoSpaceDE w:val="0"/>
        <w:autoSpaceDN w:val="0"/>
        <w:spacing w:line="264" w:lineRule="auto"/>
        <w:ind w:right="267"/>
        <w:rPr>
          <w:sz w:val="20"/>
        </w:rPr>
      </w:pPr>
    </w:p>
    <w:p w:rsidR="00BE16F8" w:rsidRDefault="00BE16F8">
      <w:pPr>
        <w:pStyle w:val="Kopfzeile"/>
        <w:tabs>
          <w:tab w:val="clear" w:pos="4536"/>
          <w:tab w:val="clear" w:pos="9072"/>
          <w:tab w:val="left" w:pos="7797"/>
        </w:tabs>
        <w:spacing w:line="264" w:lineRule="auto"/>
        <w:ind w:right="267"/>
        <w:rPr>
          <w:sz w:val="20"/>
        </w:rPr>
      </w:pPr>
    </w:p>
    <w:p w:rsidR="00BE16F8" w:rsidRDefault="005B3C1F" w:rsidP="00CC5C9E">
      <w:pPr>
        <w:pStyle w:val="Textkrper"/>
        <w:tabs>
          <w:tab w:val="left" w:pos="8080"/>
          <w:tab w:val="left" w:pos="8222"/>
        </w:tabs>
        <w:spacing w:line="288" w:lineRule="auto"/>
        <w:ind w:right="281"/>
        <w:rPr>
          <w:rFonts w:cs="Times New Roman"/>
          <w:b/>
          <w:sz w:val="26"/>
          <w:szCs w:val="20"/>
        </w:rPr>
      </w:pPr>
      <w:bookmarkStart w:id="0" w:name="OLE_LINK3"/>
      <w:r>
        <w:rPr>
          <w:rFonts w:cs="Times New Roman"/>
          <w:b/>
          <w:sz w:val="26"/>
          <w:szCs w:val="20"/>
        </w:rPr>
        <w:t xml:space="preserve">Mobile Datenerfassung </w:t>
      </w:r>
      <w:r w:rsidR="006511B4">
        <w:rPr>
          <w:rFonts w:cs="Times New Roman"/>
          <w:b/>
          <w:sz w:val="26"/>
          <w:szCs w:val="20"/>
        </w:rPr>
        <w:t xml:space="preserve">nun auch </w:t>
      </w:r>
      <w:r>
        <w:rPr>
          <w:rFonts w:cs="Times New Roman"/>
          <w:b/>
          <w:sz w:val="26"/>
          <w:szCs w:val="20"/>
        </w:rPr>
        <w:t>für die Lebensmittelindustrie</w:t>
      </w:r>
    </w:p>
    <w:p w:rsidR="005B3C1F" w:rsidRDefault="005B3C1F" w:rsidP="00BE16F8">
      <w:pPr>
        <w:pStyle w:val="Textkrper"/>
        <w:tabs>
          <w:tab w:val="left" w:pos="7938"/>
          <w:tab w:val="left" w:pos="8222"/>
        </w:tabs>
        <w:spacing w:line="288" w:lineRule="auto"/>
        <w:ind w:right="564"/>
        <w:rPr>
          <w:rFonts w:cs="Times New Roman"/>
          <w:sz w:val="26"/>
          <w:szCs w:val="20"/>
        </w:rPr>
      </w:pPr>
      <w:r>
        <w:rPr>
          <w:rFonts w:cs="Times New Roman"/>
          <w:sz w:val="26"/>
          <w:szCs w:val="20"/>
        </w:rPr>
        <w:t xml:space="preserve">ACD entwickelt </w:t>
      </w:r>
      <w:r w:rsidR="00B45D27">
        <w:rPr>
          <w:rFonts w:cs="Times New Roman"/>
          <w:sz w:val="26"/>
          <w:szCs w:val="20"/>
        </w:rPr>
        <w:t xml:space="preserve">mobiles </w:t>
      </w:r>
      <w:r>
        <w:rPr>
          <w:rFonts w:cs="Times New Roman"/>
          <w:sz w:val="26"/>
          <w:szCs w:val="20"/>
        </w:rPr>
        <w:t>Gerät, das</w:t>
      </w:r>
      <w:r w:rsidR="00D42507">
        <w:rPr>
          <w:rFonts w:cs="Times New Roman"/>
          <w:sz w:val="26"/>
          <w:szCs w:val="20"/>
        </w:rPr>
        <w:t xml:space="preserve"> hohe</w:t>
      </w:r>
      <w:r>
        <w:rPr>
          <w:rFonts w:cs="Times New Roman"/>
          <w:sz w:val="26"/>
          <w:szCs w:val="20"/>
        </w:rPr>
        <w:t xml:space="preserve"> </w:t>
      </w:r>
      <w:r w:rsidR="00D42507">
        <w:rPr>
          <w:rFonts w:cs="Times New Roman"/>
          <w:sz w:val="26"/>
          <w:szCs w:val="20"/>
        </w:rPr>
        <w:t>Hygiene</w:t>
      </w:r>
      <w:r w:rsidR="00B912BE">
        <w:rPr>
          <w:rFonts w:cs="Times New Roman"/>
          <w:sz w:val="26"/>
          <w:szCs w:val="20"/>
        </w:rPr>
        <w:t>a</w:t>
      </w:r>
      <w:r w:rsidR="00095800">
        <w:rPr>
          <w:rFonts w:cs="Times New Roman"/>
          <w:sz w:val="26"/>
          <w:szCs w:val="20"/>
        </w:rPr>
        <w:t>nsprüche</w:t>
      </w:r>
      <w:r>
        <w:rPr>
          <w:rFonts w:cs="Times New Roman"/>
          <w:sz w:val="26"/>
          <w:szCs w:val="20"/>
        </w:rPr>
        <w:t xml:space="preserve"> </w:t>
      </w:r>
      <w:r w:rsidR="00B45D27">
        <w:rPr>
          <w:rFonts w:cs="Times New Roman"/>
          <w:sz w:val="26"/>
          <w:szCs w:val="20"/>
        </w:rPr>
        <w:t xml:space="preserve">der Lebensmittelindustrie </w:t>
      </w:r>
      <w:r w:rsidR="004F21D9">
        <w:rPr>
          <w:rFonts w:cs="Times New Roman"/>
          <w:sz w:val="26"/>
          <w:szCs w:val="20"/>
        </w:rPr>
        <w:t>erfüllt</w:t>
      </w:r>
    </w:p>
    <w:p w:rsidR="00BE16F8" w:rsidRPr="006F6D5B" w:rsidRDefault="00BE16F8" w:rsidP="00BE16F8">
      <w:pPr>
        <w:pStyle w:val="Textkrper"/>
        <w:tabs>
          <w:tab w:val="left" w:pos="7938"/>
          <w:tab w:val="left" w:pos="8222"/>
        </w:tabs>
        <w:spacing w:line="288" w:lineRule="auto"/>
        <w:ind w:right="564"/>
        <w:rPr>
          <w:sz w:val="22"/>
        </w:rPr>
      </w:pPr>
    </w:p>
    <w:p w:rsidR="00BE16F8" w:rsidRDefault="005B3C1F" w:rsidP="00A10A07">
      <w:pPr>
        <w:pStyle w:val="Textkrper"/>
        <w:tabs>
          <w:tab w:val="left" w:pos="7938"/>
          <w:tab w:val="left" w:pos="8222"/>
        </w:tabs>
        <w:spacing w:line="288" w:lineRule="auto"/>
        <w:jc w:val="both"/>
        <w:rPr>
          <w:b/>
          <w:sz w:val="22"/>
        </w:rPr>
      </w:pPr>
      <w:r>
        <w:rPr>
          <w:b/>
          <w:sz w:val="22"/>
        </w:rPr>
        <w:t>Die</w:t>
      </w:r>
      <w:r w:rsidR="006034DF">
        <w:rPr>
          <w:b/>
          <w:sz w:val="22"/>
        </w:rPr>
        <w:t xml:space="preserve"> ACD</w:t>
      </w:r>
      <w:r w:rsidR="009F1B50">
        <w:rPr>
          <w:b/>
          <w:sz w:val="22"/>
        </w:rPr>
        <w:t xml:space="preserve"> </w:t>
      </w:r>
      <w:r w:rsidR="0009582F">
        <w:rPr>
          <w:b/>
          <w:sz w:val="22"/>
        </w:rPr>
        <w:t xml:space="preserve">Elektronik GmbH </w:t>
      </w:r>
      <w:r>
        <w:rPr>
          <w:b/>
          <w:sz w:val="22"/>
        </w:rPr>
        <w:t xml:space="preserve">hat </w:t>
      </w:r>
      <w:r w:rsidR="00260CDD">
        <w:rPr>
          <w:b/>
          <w:sz w:val="22"/>
        </w:rPr>
        <w:t>zusammen mit OPUS//G</w:t>
      </w:r>
      <w:r w:rsidR="004A3D57">
        <w:rPr>
          <w:b/>
          <w:sz w:val="22"/>
        </w:rPr>
        <w:t xml:space="preserve"> für die </w:t>
      </w:r>
      <w:r w:rsidR="00FA5370">
        <w:rPr>
          <w:b/>
          <w:sz w:val="22"/>
        </w:rPr>
        <w:t>C</w:t>
      </w:r>
      <w:r>
        <w:rPr>
          <w:b/>
          <w:sz w:val="22"/>
        </w:rPr>
        <w:t xml:space="preserve">onditorei </w:t>
      </w:r>
      <w:proofErr w:type="spellStart"/>
      <w:r>
        <w:rPr>
          <w:b/>
          <w:sz w:val="22"/>
        </w:rPr>
        <w:t>Co</w:t>
      </w:r>
      <w:r>
        <w:rPr>
          <w:b/>
          <w:sz w:val="22"/>
        </w:rPr>
        <w:t>p</w:t>
      </w:r>
      <w:r>
        <w:rPr>
          <w:b/>
          <w:sz w:val="22"/>
        </w:rPr>
        <w:t>penrath</w:t>
      </w:r>
      <w:proofErr w:type="spellEnd"/>
      <w:r>
        <w:rPr>
          <w:b/>
          <w:sz w:val="22"/>
        </w:rPr>
        <w:t xml:space="preserve"> &amp; Wiese GmbH &amp; Co. KG </w:t>
      </w:r>
      <w:r w:rsidR="00B45D27">
        <w:rPr>
          <w:b/>
          <w:sz w:val="22"/>
        </w:rPr>
        <w:t xml:space="preserve">ein </w:t>
      </w:r>
      <w:r>
        <w:rPr>
          <w:b/>
          <w:sz w:val="22"/>
        </w:rPr>
        <w:t>mobile</w:t>
      </w:r>
      <w:r w:rsidR="00095800">
        <w:rPr>
          <w:b/>
          <w:sz w:val="22"/>
        </w:rPr>
        <w:t>s</w:t>
      </w:r>
      <w:r>
        <w:rPr>
          <w:b/>
          <w:sz w:val="22"/>
        </w:rPr>
        <w:t xml:space="preserve"> Datenerfassungsgerät für den Lebensmittelbereich entwickelt. Das </w:t>
      </w:r>
      <w:r w:rsidR="008C5623">
        <w:rPr>
          <w:b/>
          <w:sz w:val="22"/>
        </w:rPr>
        <w:t xml:space="preserve">mobile Terminal </w:t>
      </w:r>
      <w:r>
        <w:rPr>
          <w:b/>
          <w:sz w:val="22"/>
        </w:rPr>
        <w:t>M266 kommt direkt in der Produktion</w:t>
      </w:r>
      <w:r w:rsidR="000B2261">
        <w:rPr>
          <w:b/>
          <w:sz w:val="22"/>
        </w:rPr>
        <w:t>, beispielsweise</w:t>
      </w:r>
      <w:r>
        <w:rPr>
          <w:b/>
          <w:sz w:val="22"/>
        </w:rPr>
        <w:t xml:space="preserve"> zur Chargenrückverfolgung</w:t>
      </w:r>
      <w:r w:rsidR="009F1B50">
        <w:rPr>
          <w:b/>
          <w:sz w:val="22"/>
        </w:rPr>
        <w:t>,</w:t>
      </w:r>
      <w:r>
        <w:rPr>
          <w:b/>
          <w:sz w:val="22"/>
        </w:rPr>
        <w:t xml:space="preserve"> zum Einsatz und </w:t>
      </w:r>
      <w:r w:rsidR="006511B4">
        <w:rPr>
          <w:b/>
          <w:sz w:val="22"/>
        </w:rPr>
        <w:t xml:space="preserve">wird als einziges seiner Art </w:t>
      </w:r>
      <w:r>
        <w:rPr>
          <w:b/>
          <w:sz w:val="22"/>
        </w:rPr>
        <w:t>den strengen Hygiene</w:t>
      </w:r>
      <w:r w:rsidR="00B912BE">
        <w:rPr>
          <w:b/>
          <w:sz w:val="22"/>
        </w:rPr>
        <w:t>anforderungen</w:t>
      </w:r>
      <w:r>
        <w:rPr>
          <w:b/>
          <w:sz w:val="22"/>
        </w:rPr>
        <w:t xml:space="preserve"> de</w:t>
      </w:r>
      <w:r w:rsidR="006511B4">
        <w:rPr>
          <w:b/>
          <w:sz w:val="22"/>
        </w:rPr>
        <w:t>r Lebensmitte</w:t>
      </w:r>
      <w:r w:rsidR="006511B4">
        <w:rPr>
          <w:b/>
          <w:sz w:val="22"/>
        </w:rPr>
        <w:t>l</w:t>
      </w:r>
      <w:r w:rsidR="006511B4">
        <w:rPr>
          <w:b/>
          <w:sz w:val="22"/>
        </w:rPr>
        <w:t>industrie gerecht</w:t>
      </w:r>
      <w:r>
        <w:rPr>
          <w:b/>
          <w:sz w:val="22"/>
        </w:rPr>
        <w:t xml:space="preserve">. So ist das Gehäuse des M266 resistent gegenüber </w:t>
      </w:r>
      <w:r w:rsidR="00B912BE">
        <w:rPr>
          <w:b/>
          <w:sz w:val="22"/>
        </w:rPr>
        <w:t xml:space="preserve">einer Vielzahl von Reinigungs- und Desinfektionsmitteln </w:t>
      </w:r>
      <w:r>
        <w:rPr>
          <w:b/>
          <w:sz w:val="22"/>
        </w:rPr>
        <w:t>und verfügt über glatte Oberflächen, die eine leichte und gründliche Reinigung ermöglichen. Dank di</w:t>
      </w:r>
      <w:r>
        <w:rPr>
          <w:b/>
          <w:sz w:val="22"/>
        </w:rPr>
        <w:t>e</w:t>
      </w:r>
      <w:r>
        <w:rPr>
          <w:b/>
          <w:sz w:val="22"/>
        </w:rPr>
        <w:t>ser Eigenschaften ist selbst der direkte Kontakt mit sensiblen Rohstoffen und Endprodukten absolut unbedenklich. „Die deutsche Lebensmittelindustrie zeichnet sich durch den Einsatz hochwertiger Rohstoffe und moderner Produ</w:t>
      </w:r>
      <w:r>
        <w:rPr>
          <w:b/>
          <w:sz w:val="22"/>
        </w:rPr>
        <w:t>k</w:t>
      </w:r>
      <w:r>
        <w:rPr>
          <w:b/>
          <w:sz w:val="22"/>
        </w:rPr>
        <w:t>tionstechnologien aus“, erklärt Andreas Zwißler, Geschäftsführer der ACD Elektronik GmbH mit Sitz im süddeutschen Achstetten. „Um die Lebensmitte</w:t>
      </w:r>
      <w:r>
        <w:rPr>
          <w:b/>
          <w:sz w:val="22"/>
        </w:rPr>
        <w:t>l</w:t>
      </w:r>
      <w:r>
        <w:rPr>
          <w:b/>
          <w:sz w:val="22"/>
        </w:rPr>
        <w:t>sicherheit konstant zu gewährleisten, setzen die Unternehmen auf immer au</w:t>
      </w:r>
      <w:r>
        <w:rPr>
          <w:b/>
          <w:sz w:val="22"/>
        </w:rPr>
        <w:t>f</w:t>
      </w:r>
      <w:r w:rsidR="009F1B50">
        <w:rPr>
          <w:b/>
          <w:sz w:val="22"/>
        </w:rPr>
        <w:t>we</w:t>
      </w:r>
      <w:r>
        <w:rPr>
          <w:b/>
          <w:sz w:val="22"/>
        </w:rPr>
        <w:t>ndigere Qualitätsmanagementsysteme wie beispielsweise die Rückverfol</w:t>
      </w:r>
      <w:r>
        <w:rPr>
          <w:b/>
          <w:sz w:val="22"/>
        </w:rPr>
        <w:t>g</w:t>
      </w:r>
      <w:r>
        <w:rPr>
          <w:b/>
          <w:sz w:val="22"/>
        </w:rPr>
        <w:t xml:space="preserve">barkeit durch alle Phasen der Produktion mithilfe der Chargennummern. Die Nachfrage nach mobilen Geräten, die diese Schritte vereinfachen, steigt daher kontinuierlich“, so Zwißler weiter. </w:t>
      </w:r>
      <w:r w:rsidR="00A5288E" w:rsidRPr="00095800">
        <w:rPr>
          <w:b/>
          <w:sz w:val="22"/>
        </w:rPr>
        <w:t>Neben dem M266 von ACD gibt es derzeit kein vergleichbares Gerät am Markt.</w:t>
      </w:r>
    </w:p>
    <w:p w:rsidR="00CC5C9E" w:rsidRDefault="00CC5C9E" w:rsidP="00BE16F8">
      <w:pPr>
        <w:widowControl w:val="0"/>
        <w:tabs>
          <w:tab w:val="left" w:pos="220"/>
          <w:tab w:val="left" w:pos="720"/>
          <w:tab w:val="left" w:pos="7938"/>
        </w:tabs>
        <w:autoSpaceDE w:val="0"/>
        <w:autoSpaceDN w:val="0"/>
        <w:adjustRightInd w:val="0"/>
        <w:spacing w:line="360" w:lineRule="auto"/>
        <w:rPr>
          <w:rFonts w:ascii="Helvetica" w:hAnsi="Helvetica" w:cs="Verdana"/>
          <w:sz w:val="22"/>
          <w:szCs w:val="22"/>
        </w:rPr>
      </w:pPr>
    </w:p>
    <w:p w:rsidR="00A5021D" w:rsidRDefault="00A10A07" w:rsidP="00A10A07">
      <w:pPr>
        <w:spacing w:line="288" w:lineRule="auto"/>
        <w:jc w:val="both"/>
        <w:rPr>
          <w:rFonts w:ascii="Arial" w:hAnsi="Arial" w:cs="Arial"/>
          <w:sz w:val="20"/>
        </w:rPr>
      </w:pPr>
      <w:r>
        <w:rPr>
          <w:rFonts w:ascii="Arial" w:hAnsi="Arial" w:cs="Arial"/>
          <w:sz w:val="20"/>
        </w:rPr>
        <w:t>Das stabile</w:t>
      </w:r>
      <w:r w:rsidRPr="00F32CD2">
        <w:rPr>
          <w:rFonts w:ascii="Arial" w:hAnsi="Arial" w:cs="Arial"/>
          <w:sz w:val="20"/>
        </w:rPr>
        <w:t xml:space="preserve"> ABS-Gehäuse </w:t>
      </w:r>
      <w:r w:rsidR="00A5021D">
        <w:rPr>
          <w:rFonts w:ascii="Arial" w:hAnsi="Arial" w:cs="Arial"/>
          <w:sz w:val="20"/>
        </w:rPr>
        <w:t xml:space="preserve">des M266 </w:t>
      </w:r>
      <w:r>
        <w:rPr>
          <w:rFonts w:ascii="Arial" w:hAnsi="Arial" w:cs="Arial"/>
          <w:sz w:val="20"/>
        </w:rPr>
        <w:t xml:space="preserve">nach Schutzart IP65 </w:t>
      </w:r>
      <w:r w:rsidR="00A5021D">
        <w:rPr>
          <w:rFonts w:ascii="Arial" w:hAnsi="Arial" w:cs="Arial"/>
          <w:sz w:val="20"/>
        </w:rPr>
        <w:t xml:space="preserve">mit </w:t>
      </w:r>
      <w:r w:rsidR="00A5021D" w:rsidRPr="00F32CD2">
        <w:rPr>
          <w:rFonts w:ascii="Arial" w:hAnsi="Arial" w:cs="Arial"/>
          <w:sz w:val="20"/>
        </w:rPr>
        <w:t>abwaschbare</w:t>
      </w:r>
      <w:r w:rsidR="00A5021D">
        <w:rPr>
          <w:rFonts w:ascii="Arial" w:hAnsi="Arial" w:cs="Arial"/>
          <w:sz w:val="20"/>
        </w:rPr>
        <w:t>r</w:t>
      </w:r>
      <w:r w:rsidR="00A5021D" w:rsidRPr="00F32CD2">
        <w:rPr>
          <w:rFonts w:ascii="Arial" w:hAnsi="Arial" w:cs="Arial"/>
          <w:sz w:val="20"/>
        </w:rPr>
        <w:t xml:space="preserve"> Folientastatur</w:t>
      </w:r>
      <w:r w:rsidR="00A5021D">
        <w:rPr>
          <w:rFonts w:ascii="Arial" w:hAnsi="Arial" w:cs="Arial"/>
          <w:sz w:val="20"/>
        </w:rPr>
        <w:t xml:space="preserve"> </w:t>
      </w:r>
      <w:r w:rsidRPr="00F32CD2">
        <w:rPr>
          <w:rFonts w:ascii="Arial" w:hAnsi="Arial" w:cs="Arial"/>
          <w:sz w:val="20"/>
        </w:rPr>
        <w:t>zeichnet sich selbst in rauen Industrieumgebungen durch ausreichen</w:t>
      </w:r>
      <w:r>
        <w:rPr>
          <w:rFonts w:ascii="Arial" w:hAnsi="Arial" w:cs="Arial"/>
          <w:sz w:val="20"/>
        </w:rPr>
        <w:t>d Staub- und Strahlwa</w:t>
      </w:r>
      <w:r>
        <w:rPr>
          <w:rFonts w:ascii="Arial" w:hAnsi="Arial" w:cs="Arial"/>
          <w:sz w:val="20"/>
        </w:rPr>
        <w:t>s</w:t>
      </w:r>
      <w:r>
        <w:rPr>
          <w:rFonts w:ascii="Arial" w:hAnsi="Arial" w:cs="Arial"/>
          <w:sz w:val="20"/>
        </w:rPr>
        <w:t>serschutz</w:t>
      </w:r>
      <w:r w:rsidRPr="00F32CD2">
        <w:rPr>
          <w:rFonts w:ascii="Arial" w:hAnsi="Arial" w:cs="Arial"/>
          <w:sz w:val="20"/>
        </w:rPr>
        <w:t xml:space="preserve"> sowie eine erhöhte Langlebigkeit aus. </w:t>
      </w:r>
      <w:r>
        <w:rPr>
          <w:rFonts w:ascii="Arial" w:hAnsi="Arial" w:cs="Arial"/>
          <w:sz w:val="20"/>
        </w:rPr>
        <w:t>Die auffällig blaue</w:t>
      </w:r>
      <w:r w:rsidRPr="00F32CD2">
        <w:rPr>
          <w:rFonts w:ascii="Arial" w:hAnsi="Arial" w:cs="Arial"/>
          <w:sz w:val="20"/>
        </w:rPr>
        <w:t xml:space="preserve"> </w:t>
      </w:r>
      <w:r w:rsidRPr="00BC23F7">
        <w:rPr>
          <w:rFonts w:ascii="Arial" w:hAnsi="Arial" w:cs="Arial"/>
          <w:sz w:val="20"/>
        </w:rPr>
        <w:t xml:space="preserve">Farbe </w:t>
      </w:r>
      <w:r>
        <w:rPr>
          <w:rFonts w:ascii="Arial" w:hAnsi="Arial" w:cs="Arial"/>
          <w:sz w:val="20"/>
        </w:rPr>
        <w:t>sorgt für</w:t>
      </w:r>
      <w:r w:rsidRPr="00F32CD2">
        <w:rPr>
          <w:rFonts w:ascii="Arial" w:hAnsi="Arial" w:cs="Arial"/>
          <w:sz w:val="20"/>
        </w:rPr>
        <w:t xml:space="preserve"> ein pr</w:t>
      </w:r>
      <w:r w:rsidRPr="00F32CD2">
        <w:rPr>
          <w:rFonts w:ascii="Arial" w:hAnsi="Arial" w:cs="Arial"/>
          <w:sz w:val="20"/>
        </w:rPr>
        <w:t>o</w:t>
      </w:r>
      <w:r w:rsidRPr="00F32CD2">
        <w:rPr>
          <w:rFonts w:ascii="Arial" w:hAnsi="Arial" w:cs="Arial"/>
          <w:sz w:val="20"/>
        </w:rPr>
        <w:t xml:space="preserve">blemloses Erkennen </w:t>
      </w:r>
      <w:r w:rsidR="00B912BE">
        <w:rPr>
          <w:rFonts w:ascii="Arial" w:hAnsi="Arial" w:cs="Arial"/>
          <w:sz w:val="20"/>
        </w:rPr>
        <w:t xml:space="preserve">im Produktionsprozess </w:t>
      </w:r>
      <w:r>
        <w:rPr>
          <w:rFonts w:ascii="Arial" w:hAnsi="Arial" w:cs="Arial"/>
          <w:sz w:val="20"/>
        </w:rPr>
        <w:t xml:space="preserve">und der Verzicht auf </w:t>
      </w:r>
      <w:r w:rsidR="00B912BE">
        <w:rPr>
          <w:rFonts w:ascii="Arial" w:hAnsi="Arial" w:cs="Arial"/>
          <w:sz w:val="20"/>
        </w:rPr>
        <w:t>Unebenheiten und Verti</w:t>
      </w:r>
      <w:r w:rsidR="00B912BE">
        <w:rPr>
          <w:rFonts w:ascii="Arial" w:hAnsi="Arial" w:cs="Arial"/>
          <w:sz w:val="20"/>
        </w:rPr>
        <w:t>e</w:t>
      </w:r>
      <w:r w:rsidR="00B912BE">
        <w:rPr>
          <w:rFonts w:ascii="Arial" w:hAnsi="Arial" w:cs="Arial"/>
          <w:sz w:val="20"/>
        </w:rPr>
        <w:t xml:space="preserve">fungen </w:t>
      </w:r>
      <w:r>
        <w:rPr>
          <w:rFonts w:ascii="Arial" w:hAnsi="Arial" w:cs="Arial"/>
          <w:sz w:val="20"/>
        </w:rPr>
        <w:t>ermöglicht eine einfache Reinigung</w:t>
      </w:r>
      <w:r w:rsidRPr="00F32CD2">
        <w:rPr>
          <w:rFonts w:ascii="Arial" w:hAnsi="Arial" w:cs="Arial"/>
          <w:sz w:val="20"/>
        </w:rPr>
        <w:t xml:space="preserve">. </w:t>
      </w:r>
      <w:r w:rsidR="00B912BE" w:rsidRPr="00B912BE">
        <w:rPr>
          <w:rFonts w:ascii="Arial" w:hAnsi="Arial" w:cs="Arial"/>
          <w:sz w:val="20"/>
        </w:rPr>
        <w:t xml:space="preserve">Der kurzfristige Einsatz </w:t>
      </w:r>
      <w:r w:rsidR="00B912BE">
        <w:rPr>
          <w:rFonts w:ascii="Arial" w:hAnsi="Arial" w:cs="Arial"/>
          <w:sz w:val="20"/>
        </w:rPr>
        <w:t xml:space="preserve">des M266 </w:t>
      </w:r>
      <w:r w:rsidR="00B912BE" w:rsidRPr="00B912BE">
        <w:rPr>
          <w:rFonts w:ascii="Arial" w:hAnsi="Arial" w:cs="Arial"/>
          <w:sz w:val="20"/>
        </w:rPr>
        <w:t>in Produktion</w:t>
      </w:r>
      <w:r w:rsidR="00B912BE" w:rsidRPr="00B912BE">
        <w:rPr>
          <w:rFonts w:ascii="Arial" w:hAnsi="Arial" w:cs="Arial"/>
          <w:sz w:val="20"/>
        </w:rPr>
        <w:t>s</w:t>
      </w:r>
      <w:r w:rsidR="00B912BE" w:rsidRPr="00B912BE">
        <w:rPr>
          <w:rFonts w:ascii="Arial" w:hAnsi="Arial" w:cs="Arial"/>
          <w:sz w:val="20"/>
        </w:rPr>
        <w:t xml:space="preserve">bereichen bei Temperaturen von bis zu minus 18 Grad Celsius </w:t>
      </w:r>
      <w:r w:rsidR="00A5021D">
        <w:rPr>
          <w:rFonts w:ascii="Arial" w:hAnsi="Arial" w:cs="Arial"/>
          <w:sz w:val="20"/>
        </w:rPr>
        <w:t>sowie</w:t>
      </w:r>
      <w:r w:rsidRPr="00F32CD2">
        <w:rPr>
          <w:rFonts w:ascii="Arial" w:hAnsi="Arial" w:cs="Arial"/>
          <w:sz w:val="20"/>
        </w:rPr>
        <w:t xml:space="preserve"> </w:t>
      </w:r>
      <w:r w:rsidR="00A5021D">
        <w:rPr>
          <w:rFonts w:ascii="Arial" w:hAnsi="Arial" w:cs="Arial"/>
          <w:sz w:val="20"/>
        </w:rPr>
        <w:t>die</w:t>
      </w:r>
      <w:r w:rsidRPr="00F32CD2">
        <w:rPr>
          <w:rFonts w:ascii="Arial" w:hAnsi="Arial" w:cs="Arial"/>
          <w:sz w:val="20"/>
        </w:rPr>
        <w:t xml:space="preserve"> Verträglichke</w:t>
      </w:r>
      <w:r>
        <w:rPr>
          <w:rFonts w:ascii="Arial" w:hAnsi="Arial" w:cs="Arial"/>
          <w:sz w:val="20"/>
        </w:rPr>
        <w:t>it mit verschiedenen Reinigungs</w:t>
      </w:r>
      <w:r w:rsidRPr="00F32CD2">
        <w:rPr>
          <w:rFonts w:ascii="Arial" w:hAnsi="Arial" w:cs="Arial"/>
          <w:sz w:val="20"/>
        </w:rPr>
        <w:t>mitteln garantieren</w:t>
      </w:r>
      <w:r w:rsidR="00A5021D" w:rsidRPr="00F32CD2">
        <w:rPr>
          <w:rFonts w:ascii="Arial" w:hAnsi="Arial" w:cs="Arial"/>
          <w:sz w:val="20"/>
        </w:rPr>
        <w:t xml:space="preserve"> problemloses </w:t>
      </w:r>
      <w:r w:rsidRPr="00F32CD2">
        <w:rPr>
          <w:rFonts w:ascii="Arial" w:hAnsi="Arial" w:cs="Arial"/>
          <w:sz w:val="20"/>
        </w:rPr>
        <w:t>Arbeiten im Bereich der Leben</w:t>
      </w:r>
      <w:r w:rsidRPr="00F32CD2">
        <w:rPr>
          <w:rFonts w:ascii="Arial" w:hAnsi="Arial" w:cs="Arial"/>
          <w:sz w:val="20"/>
        </w:rPr>
        <w:t>s</w:t>
      </w:r>
      <w:r w:rsidRPr="00F32CD2">
        <w:rPr>
          <w:rFonts w:ascii="Arial" w:hAnsi="Arial" w:cs="Arial"/>
          <w:sz w:val="20"/>
        </w:rPr>
        <w:t>mittelproduktion.</w:t>
      </w:r>
      <w:r w:rsidR="00A5021D">
        <w:rPr>
          <w:rFonts w:ascii="Arial" w:hAnsi="Arial" w:cs="Arial"/>
          <w:sz w:val="20"/>
        </w:rPr>
        <w:t xml:space="preserve"> Wie alle mobilen Datenerfassungsgeräte der ACD Elektronik ist das M266 durch</w:t>
      </w:r>
      <w:r w:rsidRPr="00F32CD2">
        <w:rPr>
          <w:rFonts w:ascii="Arial" w:hAnsi="Arial" w:cs="Arial"/>
          <w:sz w:val="20"/>
        </w:rPr>
        <w:t xml:space="preserve"> die einfache Struktur </w:t>
      </w:r>
      <w:r w:rsidR="00A5021D">
        <w:rPr>
          <w:rFonts w:ascii="Arial" w:hAnsi="Arial" w:cs="Arial"/>
          <w:sz w:val="20"/>
        </w:rPr>
        <w:t xml:space="preserve">sehr übersichtlich gestaltet: </w:t>
      </w:r>
      <w:r w:rsidR="006511B4">
        <w:rPr>
          <w:rFonts w:ascii="Arial" w:hAnsi="Arial" w:cs="Arial"/>
          <w:sz w:val="20"/>
        </w:rPr>
        <w:t>S</w:t>
      </w:r>
      <w:r w:rsidR="00A5021D" w:rsidRPr="00F32CD2">
        <w:rPr>
          <w:rFonts w:ascii="Arial" w:hAnsi="Arial" w:cs="Arial"/>
          <w:sz w:val="20"/>
        </w:rPr>
        <w:t>echs frei belegba</w:t>
      </w:r>
      <w:r w:rsidR="00A5021D">
        <w:rPr>
          <w:rFonts w:ascii="Arial" w:hAnsi="Arial" w:cs="Arial"/>
          <w:sz w:val="20"/>
        </w:rPr>
        <w:t>re Funktionstasten</w:t>
      </w:r>
      <w:r w:rsidR="00A5021D" w:rsidRPr="00F32CD2">
        <w:rPr>
          <w:rFonts w:ascii="Arial" w:hAnsi="Arial" w:cs="Arial"/>
          <w:sz w:val="20"/>
        </w:rPr>
        <w:t xml:space="preserve"> sowie der große, resistive Touchscreen mit LED Backlight lass</w:t>
      </w:r>
      <w:r w:rsidR="00543128">
        <w:rPr>
          <w:rFonts w:ascii="Arial" w:hAnsi="Arial" w:cs="Arial"/>
          <w:sz w:val="20"/>
        </w:rPr>
        <w:t>en besonders viel Spielraum für</w:t>
      </w:r>
      <w:r w:rsidR="00A5021D" w:rsidRPr="00F32CD2">
        <w:rPr>
          <w:rFonts w:ascii="Arial" w:hAnsi="Arial" w:cs="Arial"/>
          <w:sz w:val="20"/>
        </w:rPr>
        <w:t xml:space="preserve"> </w:t>
      </w:r>
      <w:r w:rsidR="00A5021D">
        <w:rPr>
          <w:rFonts w:ascii="Arial" w:hAnsi="Arial" w:cs="Arial"/>
          <w:sz w:val="20"/>
        </w:rPr>
        <w:t>kunden</w:t>
      </w:r>
      <w:r w:rsidR="00A5021D" w:rsidRPr="00F32CD2">
        <w:rPr>
          <w:rFonts w:ascii="Arial" w:hAnsi="Arial" w:cs="Arial"/>
          <w:sz w:val="20"/>
        </w:rPr>
        <w:t>individuelle Lösung</w:t>
      </w:r>
      <w:r w:rsidR="00A5021D">
        <w:rPr>
          <w:rFonts w:ascii="Arial" w:hAnsi="Arial" w:cs="Arial"/>
          <w:sz w:val="20"/>
        </w:rPr>
        <w:t>en</w:t>
      </w:r>
      <w:r w:rsidRPr="00F32CD2">
        <w:rPr>
          <w:rFonts w:ascii="Arial" w:hAnsi="Arial" w:cs="Arial"/>
          <w:sz w:val="20"/>
        </w:rPr>
        <w:t xml:space="preserve">. </w:t>
      </w:r>
      <w:r w:rsidR="00A5021D">
        <w:rPr>
          <w:rFonts w:ascii="Arial" w:hAnsi="Arial" w:cs="Arial"/>
          <w:sz w:val="20"/>
        </w:rPr>
        <w:t>Als</w:t>
      </w:r>
      <w:r w:rsidRPr="00F32CD2">
        <w:rPr>
          <w:rFonts w:ascii="Arial" w:hAnsi="Arial" w:cs="Arial"/>
          <w:sz w:val="20"/>
        </w:rPr>
        <w:t xml:space="preserve"> Betriebssystem </w:t>
      </w:r>
      <w:r w:rsidR="00A5021D">
        <w:rPr>
          <w:rFonts w:ascii="Arial" w:hAnsi="Arial" w:cs="Arial"/>
          <w:sz w:val="20"/>
        </w:rPr>
        <w:t xml:space="preserve">kommt </w:t>
      </w:r>
      <w:r w:rsidRPr="00F32CD2">
        <w:rPr>
          <w:rFonts w:ascii="Arial" w:hAnsi="Arial" w:cs="Arial"/>
          <w:sz w:val="20"/>
        </w:rPr>
        <w:t>Windows Embed</w:t>
      </w:r>
      <w:r w:rsidR="00A5021D">
        <w:rPr>
          <w:rFonts w:ascii="Arial" w:hAnsi="Arial" w:cs="Arial"/>
          <w:sz w:val="20"/>
        </w:rPr>
        <w:t>ded</w:t>
      </w:r>
      <w:r w:rsidR="006511B4">
        <w:rPr>
          <w:rFonts w:ascii="Arial" w:hAnsi="Arial" w:cs="Arial"/>
          <w:sz w:val="20"/>
        </w:rPr>
        <w:t xml:space="preserve"> CE 6.0</w:t>
      </w:r>
      <w:r w:rsidR="00A5021D">
        <w:rPr>
          <w:rFonts w:ascii="Arial" w:hAnsi="Arial" w:cs="Arial"/>
          <w:sz w:val="20"/>
        </w:rPr>
        <w:t xml:space="preserve"> zum Einsatz, ein leistungs</w:t>
      </w:r>
      <w:r w:rsidR="006511B4">
        <w:rPr>
          <w:rFonts w:ascii="Arial" w:hAnsi="Arial" w:cs="Arial"/>
          <w:sz w:val="20"/>
        </w:rPr>
        <w:t>starker Marvell XScale</w:t>
      </w:r>
      <w:r w:rsidR="00A5021D">
        <w:rPr>
          <w:rFonts w:ascii="Arial" w:hAnsi="Arial" w:cs="Arial"/>
          <w:sz w:val="20"/>
        </w:rPr>
        <w:t xml:space="preserve"> Prozessor (PXA 166) mit 800 Megahertz </w:t>
      </w:r>
      <w:r w:rsidR="00543128">
        <w:rPr>
          <w:rFonts w:ascii="Arial" w:hAnsi="Arial" w:cs="Arial"/>
          <w:sz w:val="20"/>
        </w:rPr>
        <w:t xml:space="preserve">und 256 MB RAM </w:t>
      </w:r>
      <w:r w:rsidR="00A5021D">
        <w:rPr>
          <w:rFonts w:ascii="Arial" w:hAnsi="Arial" w:cs="Arial"/>
          <w:sz w:val="20"/>
        </w:rPr>
        <w:t>sorgt für die nötige Performance. Die St</w:t>
      </w:r>
      <w:r w:rsidR="00543128">
        <w:rPr>
          <w:rFonts w:ascii="Arial" w:hAnsi="Arial" w:cs="Arial"/>
          <w:sz w:val="20"/>
        </w:rPr>
        <w:t>andardversion verfügt über eine Speicherk</w:t>
      </w:r>
      <w:r w:rsidR="00543128">
        <w:rPr>
          <w:rFonts w:ascii="Arial" w:hAnsi="Arial" w:cs="Arial"/>
          <w:sz w:val="20"/>
        </w:rPr>
        <w:t>a</w:t>
      </w:r>
      <w:r w:rsidR="00543128">
        <w:rPr>
          <w:rFonts w:ascii="Arial" w:hAnsi="Arial" w:cs="Arial"/>
          <w:sz w:val="20"/>
        </w:rPr>
        <w:t>pazität von 512 MB Flash. Bei Bedarf ist ein größerer Speicher für das M266 erhältlich. Im Gehäuse integriert ist ein 1D-Scanner, der auf Wunsch durch einen 2D-Scanner ersetzt we</w:t>
      </w:r>
      <w:r w:rsidR="00543128">
        <w:rPr>
          <w:rFonts w:ascii="Arial" w:hAnsi="Arial" w:cs="Arial"/>
          <w:sz w:val="20"/>
        </w:rPr>
        <w:t>r</w:t>
      </w:r>
      <w:r w:rsidR="00543128">
        <w:rPr>
          <w:rFonts w:ascii="Arial" w:hAnsi="Arial" w:cs="Arial"/>
          <w:sz w:val="20"/>
        </w:rPr>
        <w:t xml:space="preserve">den kann. Bei Geräteabmessungen von 224 x 92 x </w:t>
      </w:r>
      <w:r w:rsidR="006171AD">
        <w:rPr>
          <w:rFonts w:ascii="Arial" w:hAnsi="Arial" w:cs="Arial"/>
          <w:sz w:val="20"/>
        </w:rPr>
        <w:t>36/157 Millimetern (Länge x Breite x H</w:t>
      </w:r>
      <w:r w:rsidR="006171AD">
        <w:rPr>
          <w:rFonts w:ascii="Arial" w:hAnsi="Arial" w:cs="Arial"/>
          <w:sz w:val="20"/>
        </w:rPr>
        <w:t>ö</w:t>
      </w:r>
      <w:r w:rsidR="006171AD">
        <w:rPr>
          <w:rFonts w:ascii="Arial" w:hAnsi="Arial" w:cs="Arial"/>
          <w:sz w:val="20"/>
        </w:rPr>
        <w:t>he) bringt das M266 rund 590 Gramm auf die Waage. Op</w:t>
      </w:r>
      <w:r w:rsidR="006511B4">
        <w:rPr>
          <w:rFonts w:ascii="Arial" w:hAnsi="Arial" w:cs="Arial"/>
          <w:sz w:val="20"/>
        </w:rPr>
        <w:t>tional kann das G</w:t>
      </w:r>
      <w:r w:rsidR="006171AD">
        <w:rPr>
          <w:rFonts w:ascii="Arial" w:hAnsi="Arial" w:cs="Arial"/>
          <w:sz w:val="20"/>
        </w:rPr>
        <w:t xml:space="preserve">erät mit WLAN (IEE 802.11a/b/g), BT-kompatiblem Nahbereichsfunk, UMTS oder GPS ausgestattet werden. Als Zubehör liefert ACD eine Docking- und Akkuladestation. </w:t>
      </w:r>
      <w:r w:rsidR="006511B4">
        <w:rPr>
          <w:rFonts w:ascii="Arial" w:hAnsi="Arial" w:cs="Arial"/>
          <w:sz w:val="20"/>
        </w:rPr>
        <w:t>Das macht</w:t>
      </w:r>
      <w:r w:rsidR="006171AD">
        <w:rPr>
          <w:rFonts w:ascii="Arial" w:hAnsi="Arial" w:cs="Arial"/>
          <w:sz w:val="20"/>
        </w:rPr>
        <w:t xml:space="preserve"> das M266 </w:t>
      </w:r>
      <w:r w:rsidR="006511B4">
        <w:rPr>
          <w:rFonts w:ascii="Arial" w:hAnsi="Arial" w:cs="Arial"/>
          <w:sz w:val="20"/>
        </w:rPr>
        <w:t>zum</w:t>
      </w:r>
      <w:r w:rsidR="006171AD">
        <w:rPr>
          <w:rFonts w:ascii="Arial" w:hAnsi="Arial" w:cs="Arial"/>
          <w:sz w:val="20"/>
        </w:rPr>
        <w:t xml:space="preserve"> ide</w:t>
      </w:r>
      <w:r w:rsidR="006171AD">
        <w:rPr>
          <w:rFonts w:ascii="Arial" w:hAnsi="Arial" w:cs="Arial"/>
          <w:sz w:val="20"/>
        </w:rPr>
        <w:t>a</w:t>
      </w:r>
      <w:r w:rsidR="006171AD">
        <w:rPr>
          <w:rFonts w:ascii="Arial" w:hAnsi="Arial" w:cs="Arial"/>
          <w:sz w:val="20"/>
        </w:rPr>
        <w:t>le</w:t>
      </w:r>
      <w:r w:rsidR="006511B4">
        <w:rPr>
          <w:rFonts w:ascii="Arial" w:hAnsi="Arial" w:cs="Arial"/>
          <w:sz w:val="20"/>
        </w:rPr>
        <w:t>n</w:t>
      </w:r>
      <w:r w:rsidR="006171AD">
        <w:rPr>
          <w:rFonts w:ascii="Arial" w:hAnsi="Arial" w:cs="Arial"/>
          <w:sz w:val="20"/>
        </w:rPr>
        <w:t xml:space="preserve"> </w:t>
      </w:r>
      <w:r w:rsidR="009F1B50">
        <w:rPr>
          <w:rFonts w:ascii="Arial" w:hAnsi="Arial" w:cs="Arial"/>
          <w:sz w:val="20"/>
        </w:rPr>
        <w:t>Helfer</w:t>
      </w:r>
      <w:r w:rsidR="006171AD">
        <w:rPr>
          <w:rFonts w:ascii="Arial" w:hAnsi="Arial" w:cs="Arial"/>
          <w:sz w:val="20"/>
        </w:rPr>
        <w:t xml:space="preserve"> </w:t>
      </w:r>
      <w:r w:rsidR="006511B4">
        <w:rPr>
          <w:rFonts w:ascii="Arial" w:hAnsi="Arial" w:cs="Arial"/>
          <w:sz w:val="20"/>
        </w:rPr>
        <w:t>in der</w:t>
      </w:r>
      <w:r w:rsidR="006171AD">
        <w:rPr>
          <w:rFonts w:ascii="Arial" w:hAnsi="Arial" w:cs="Arial"/>
          <w:sz w:val="20"/>
        </w:rPr>
        <w:t xml:space="preserve"> </w:t>
      </w:r>
      <w:proofErr w:type="spellStart"/>
      <w:r w:rsidR="006171AD">
        <w:rPr>
          <w:rFonts w:ascii="Arial" w:hAnsi="Arial" w:cs="Arial"/>
          <w:sz w:val="20"/>
        </w:rPr>
        <w:t>produktionsbegleitenden</w:t>
      </w:r>
      <w:proofErr w:type="spellEnd"/>
      <w:r w:rsidR="006171AD">
        <w:rPr>
          <w:rFonts w:ascii="Arial" w:hAnsi="Arial" w:cs="Arial"/>
          <w:sz w:val="20"/>
        </w:rPr>
        <w:t xml:space="preserve"> Chargenverfolgung – vom Rohstoff bis zum Endpr</w:t>
      </w:r>
      <w:r w:rsidR="006171AD">
        <w:rPr>
          <w:rFonts w:ascii="Arial" w:hAnsi="Arial" w:cs="Arial"/>
          <w:sz w:val="20"/>
        </w:rPr>
        <w:t>o</w:t>
      </w:r>
      <w:r w:rsidR="006171AD">
        <w:rPr>
          <w:rFonts w:ascii="Arial" w:hAnsi="Arial" w:cs="Arial"/>
          <w:sz w:val="20"/>
        </w:rPr>
        <w:t>dukt.</w:t>
      </w:r>
    </w:p>
    <w:p w:rsidR="00A5021D" w:rsidRDefault="00A5021D" w:rsidP="00A10A07">
      <w:pPr>
        <w:spacing w:line="288" w:lineRule="auto"/>
        <w:jc w:val="both"/>
        <w:rPr>
          <w:rFonts w:ascii="Arial" w:hAnsi="Arial" w:cs="Arial"/>
          <w:sz w:val="20"/>
        </w:rPr>
      </w:pPr>
    </w:p>
    <w:p w:rsidR="00BE16F8" w:rsidRDefault="00BE16F8" w:rsidP="00A10A07">
      <w:pPr>
        <w:pStyle w:val="Textkrper"/>
        <w:tabs>
          <w:tab w:val="left" w:pos="7797"/>
        </w:tabs>
        <w:spacing w:line="288" w:lineRule="auto"/>
        <w:rPr>
          <w:sz w:val="20"/>
        </w:rPr>
      </w:pPr>
    </w:p>
    <w:tbl>
      <w:tblPr>
        <w:tblW w:w="8575" w:type="dxa"/>
        <w:tblLayout w:type="fixed"/>
        <w:tblCellMar>
          <w:left w:w="70" w:type="dxa"/>
          <w:right w:w="70" w:type="dxa"/>
        </w:tblCellMar>
        <w:tblLook w:val="0000"/>
      </w:tblPr>
      <w:tblGrid>
        <w:gridCol w:w="4181"/>
        <w:gridCol w:w="4394"/>
      </w:tblGrid>
      <w:tr w:rsidR="00BE16F8" w:rsidRPr="00095800">
        <w:tc>
          <w:tcPr>
            <w:tcW w:w="4181" w:type="dxa"/>
            <w:tcBorders>
              <w:top w:val="nil"/>
              <w:left w:val="nil"/>
              <w:bottom w:val="nil"/>
              <w:right w:val="nil"/>
            </w:tcBorders>
          </w:tcPr>
          <w:p w:rsidR="00BE16F8" w:rsidRDefault="00BE16F8" w:rsidP="00BE16F8">
            <w:pPr>
              <w:pStyle w:val="berschrift2"/>
              <w:tabs>
                <w:tab w:val="left" w:pos="7797"/>
              </w:tabs>
              <w:spacing w:line="264" w:lineRule="auto"/>
              <w:rPr>
                <w:color w:val="000000"/>
                <w:sz w:val="18"/>
              </w:rPr>
            </w:pPr>
            <w:bookmarkStart w:id="1" w:name="OLE_LINK1"/>
            <w:bookmarkStart w:id="2" w:name="OLE_LINK2"/>
            <w:bookmarkEnd w:id="0"/>
            <w:r>
              <w:rPr>
                <w:color w:val="000000"/>
                <w:sz w:val="18"/>
              </w:rPr>
              <w:t>Weitere Informationen:</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ACD Elektronik GmbH, Nicole Eisele</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Engelberg 2, D-88480 Achstetten</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Tel.: +49</w:t>
            </w:r>
            <w:r>
              <w:t xml:space="preserve"> </w:t>
            </w:r>
            <w:r>
              <w:rPr>
                <w:rFonts w:ascii="Helvetica" w:hAnsi="Helvetica"/>
                <w:color w:val="000000"/>
                <w:sz w:val="18"/>
              </w:rPr>
              <w:t>7392 708 404</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Fax: +49</w:t>
            </w:r>
            <w:r>
              <w:t xml:space="preserve"> </w:t>
            </w:r>
            <w:r>
              <w:rPr>
                <w:rFonts w:ascii="Helvetica" w:hAnsi="Helvetica"/>
                <w:color w:val="000000"/>
                <w:sz w:val="18"/>
              </w:rPr>
              <w:t>7392 708 490</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nicole.eisele@acd-elektronik.de</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www.acd-gruppe.de</w:t>
            </w:r>
          </w:p>
        </w:tc>
        <w:tc>
          <w:tcPr>
            <w:tcW w:w="4394" w:type="dxa"/>
            <w:tcBorders>
              <w:top w:val="nil"/>
              <w:left w:val="nil"/>
              <w:bottom w:val="nil"/>
              <w:right w:val="nil"/>
            </w:tcBorders>
          </w:tcPr>
          <w:p w:rsidR="00BE16F8" w:rsidRDefault="00BE16F8" w:rsidP="00BE16F8">
            <w:pPr>
              <w:widowControl w:val="0"/>
              <w:tabs>
                <w:tab w:val="left" w:pos="7797"/>
              </w:tabs>
              <w:spacing w:line="264" w:lineRule="auto"/>
              <w:rPr>
                <w:rFonts w:ascii="Helvetica" w:hAnsi="Helvetica"/>
                <w:b/>
                <w:color w:val="000000"/>
                <w:sz w:val="18"/>
              </w:rPr>
            </w:pPr>
            <w:r>
              <w:rPr>
                <w:rFonts w:ascii="Helvetica" w:hAnsi="Helvetica"/>
                <w:b/>
                <w:color w:val="000000"/>
                <w:sz w:val="18"/>
              </w:rPr>
              <w:t>Presse- und Öffentlichkeitsarbeit:</w:t>
            </w:r>
          </w:p>
          <w:p w:rsidR="00BE16F8" w:rsidRDefault="00BE16F8" w:rsidP="00BE16F8">
            <w:pPr>
              <w:tabs>
                <w:tab w:val="left" w:pos="7797"/>
              </w:tabs>
              <w:spacing w:line="264" w:lineRule="auto"/>
              <w:rPr>
                <w:rFonts w:ascii="Helvetica" w:hAnsi="Helvetica"/>
                <w:color w:val="000000"/>
                <w:sz w:val="18"/>
              </w:rPr>
            </w:pPr>
            <w:r>
              <w:rPr>
                <w:rFonts w:ascii="Helvetica" w:hAnsi="Helvetica"/>
                <w:color w:val="000000"/>
                <w:sz w:val="18"/>
              </w:rPr>
              <w:t xml:space="preserve">Press’n’Relations GmbH, Desiree Müller </w:t>
            </w:r>
          </w:p>
          <w:p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Magirusstraße 33, D-89077 Ulm</w:t>
            </w:r>
          </w:p>
          <w:p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 xml:space="preserve">Tel.: +49 731 96 287-32 </w:t>
            </w:r>
          </w:p>
          <w:p w:rsidR="00BE16F8" w:rsidRDefault="00BE16F8" w:rsidP="00BE16F8">
            <w:pPr>
              <w:pStyle w:val="Sprechblasentext"/>
              <w:tabs>
                <w:tab w:val="left" w:pos="7797"/>
              </w:tabs>
              <w:spacing w:line="264" w:lineRule="auto"/>
              <w:rPr>
                <w:rFonts w:ascii="Helvetica" w:hAnsi="Helvetica"/>
                <w:color w:val="000000"/>
                <w:sz w:val="18"/>
                <w:lang w:val="it-IT"/>
              </w:rPr>
            </w:pPr>
            <w:r>
              <w:rPr>
                <w:rFonts w:ascii="Helvetica" w:hAnsi="Helvetica"/>
                <w:color w:val="000000"/>
                <w:sz w:val="18"/>
                <w:lang w:val="it-IT"/>
              </w:rPr>
              <w:t>Fax: +49 731 96 287-97</w:t>
            </w:r>
          </w:p>
          <w:p w:rsidR="00BE16F8" w:rsidRDefault="00BE16F8" w:rsidP="00BE16F8">
            <w:pPr>
              <w:tabs>
                <w:tab w:val="left" w:pos="7797"/>
              </w:tabs>
              <w:spacing w:line="264" w:lineRule="auto"/>
              <w:rPr>
                <w:rFonts w:ascii="Helvetica" w:hAnsi="Helvetica"/>
                <w:color w:val="000000"/>
                <w:sz w:val="18"/>
                <w:lang w:val="it-IT"/>
              </w:rPr>
            </w:pPr>
            <w:r>
              <w:rPr>
                <w:rFonts w:ascii="Helvetica" w:hAnsi="Helvetica"/>
                <w:color w:val="000000"/>
                <w:sz w:val="18"/>
                <w:lang w:val="it-IT"/>
              </w:rPr>
              <w:t>dmt@press-n-relations.de</w:t>
            </w:r>
            <w:r>
              <w:rPr>
                <w:rFonts w:ascii="Helvetica" w:hAnsi="Helvetica"/>
                <w:color w:val="000000"/>
                <w:sz w:val="18"/>
                <w:lang w:val="it-IT"/>
              </w:rPr>
              <w:br/>
              <w:t>www.press-n-relations.de</w:t>
            </w:r>
          </w:p>
        </w:tc>
      </w:tr>
      <w:bookmarkEnd w:id="1"/>
      <w:bookmarkEnd w:id="2"/>
    </w:tbl>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color w:val="000000"/>
          <w:sz w:val="18"/>
          <w:lang w:val="it-IT"/>
        </w:rPr>
      </w:pPr>
    </w:p>
    <w:p w:rsidR="00BE16F8" w:rsidRDefault="00BE16F8" w:rsidP="00BE16F8">
      <w:pPr>
        <w:tabs>
          <w:tab w:val="left" w:pos="7797"/>
        </w:tabs>
        <w:rPr>
          <w:rFonts w:ascii="Helvetica" w:hAnsi="Helvetica"/>
          <w:b/>
          <w:sz w:val="18"/>
        </w:rPr>
      </w:pPr>
      <w:r>
        <w:rPr>
          <w:rFonts w:ascii="Helvetica" w:hAnsi="Helvetica"/>
          <w:b/>
          <w:sz w:val="18"/>
        </w:rPr>
        <w:t xml:space="preserve">ACD Gruppe </w:t>
      </w:r>
    </w:p>
    <w:p w:rsidR="008B347D" w:rsidRPr="008B347D" w:rsidRDefault="008B347D" w:rsidP="008B347D">
      <w:pPr>
        <w:tabs>
          <w:tab w:val="left" w:pos="7797"/>
        </w:tabs>
        <w:rPr>
          <w:rFonts w:ascii="Helvetica" w:hAnsi="Helvetica"/>
          <w:sz w:val="18"/>
        </w:rPr>
      </w:pPr>
      <w:r w:rsidRPr="008B347D">
        <w:rPr>
          <w:rFonts w:ascii="Helvetica" w:hAnsi="Helvetica"/>
          <w:sz w:val="18"/>
        </w:rPr>
        <w:t>Die ACD Elektronik GmbH, ein Unternehmen der ACD Gruppe, ist Hersteller und Entwicklungsdienstle</w:t>
      </w:r>
      <w:r w:rsidRPr="008B347D">
        <w:rPr>
          <w:rFonts w:ascii="Helvetica" w:hAnsi="Helvetica"/>
          <w:sz w:val="18"/>
        </w:rPr>
        <w:t>i</w:t>
      </w:r>
      <w:r w:rsidRPr="008B347D">
        <w:rPr>
          <w:rFonts w:ascii="Helvetica" w:hAnsi="Helvetica"/>
          <w:sz w:val="18"/>
        </w:rPr>
        <w:t>ster in den Bereichen Mobile Datenerfassung</w:t>
      </w:r>
      <w:r w:rsidR="00DA3AAC">
        <w:rPr>
          <w:rFonts w:ascii="Helvetica" w:hAnsi="Helvetica"/>
          <w:sz w:val="18"/>
        </w:rPr>
        <w:t xml:space="preserve"> für Handel und Logistik, Industrieelektronik</w:t>
      </w:r>
      <w:r w:rsidRPr="008B347D">
        <w:rPr>
          <w:rFonts w:ascii="Helvetica" w:hAnsi="Helvetica"/>
          <w:sz w:val="18"/>
        </w:rPr>
        <w:t xml:space="preserve"> sowie für das Energie- und Gesundheitswesen.</w:t>
      </w:r>
    </w:p>
    <w:p w:rsidR="008B347D" w:rsidRPr="008B347D" w:rsidRDefault="008B347D" w:rsidP="008B347D">
      <w:pPr>
        <w:tabs>
          <w:tab w:val="left" w:pos="7797"/>
        </w:tabs>
        <w:rPr>
          <w:rFonts w:ascii="Helvetica" w:hAnsi="Helvetica"/>
          <w:sz w:val="18"/>
        </w:rPr>
      </w:pPr>
    </w:p>
    <w:p w:rsidR="008B347D" w:rsidRDefault="008B347D" w:rsidP="008B347D">
      <w:pPr>
        <w:tabs>
          <w:tab w:val="left" w:pos="7797"/>
        </w:tabs>
        <w:rPr>
          <w:rFonts w:ascii="Helvetica" w:hAnsi="Helvetica"/>
          <w:sz w:val="18"/>
        </w:rPr>
      </w:pPr>
      <w:r w:rsidRPr="008B347D">
        <w:rPr>
          <w:rFonts w:ascii="Helvetica" w:hAnsi="Helvetica"/>
          <w:sz w:val="18"/>
        </w:rPr>
        <w:t>Die heutige ACD Gruppe setzt sich aus der ACD Elektronik GmbH, der ACD Systemtechnik GmbH, der ACD Antriebstechnik GmbH und der ACD Czech s.r.o. zusammen und ist in Deutschland an zwei ve</w:t>
      </w:r>
      <w:r w:rsidRPr="008B347D">
        <w:rPr>
          <w:rFonts w:ascii="Helvetica" w:hAnsi="Helvetica"/>
          <w:sz w:val="18"/>
        </w:rPr>
        <w:t>r</w:t>
      </w:r>
      <w:r w:rsidRPr="008B347D">
        <w:rPr>
          <w:rFonts w:ascii="Helvetica" w:hAnsi="Helvetica"/>
          <w:sz w:val="18"/>
        </w:rPr>
        <w:t>schiedenen Standorten vertreten, in Tschechien an einem Standort. Die Gruppe beschäftigt an allen Standorten insgesamt ca. 350 Mitarbeiter und erwirtschaftete 2014 einen Jahresumsatz von 65 Millionen Euro.</w:t>
      </w:r>
    </w:p>
    <w:p w:rsidR="008B347D" w:rsidRDefault="008B347D" w:rsidP="008B347D">
      <w:pPr>
        <w:tabs>
          <w:tab w:val="left" w:pos="7797"/>
        </w:tabs>
        <w:rPr>
          <w:rFonts w:ascii="Helvetica" w:hAnsi="Helvetica"/>
          <w:sz w:val="18"/>
        </w:rPr>
      </w:pPr>
    </w:p>
    <w:p w:rsidR="008B347D" w:rsidRDefault="008B347D" w:rsidP="008B347D">
      <w:pPr>
        <w:tabs>
          <w:tab w:val="left" w:pos="7797"/>
        </w:tabs>
        <w:rPr>
          <w:rFonts w:ascii="Helvetica" w:hAnsi="Helvetica"/>
          <w:sz w:val="18"/>
        </w:rPr>
      </w:pPr>
    </w:p>
    <w:p w:rsidR="00BE16F8" w:rsidRDefault="00BE16F8" w:rsidP="00BE16F8">
      <w:pPr>
        <w:tabs>
          <w:tab w:val="left" w:pos="7797"/>
        </w:tabs>
        <w:rPr>
          <w:rFonts w:ascii="Helvetica" w:hAnsi="Helvetica"/>
          <w:sz w:val="18"/>
        </w:rPr>
      </w:pPr>
    </w:p>
    <w:p w:rsidR="00BE16F8" w:rsidRPr="00C345E6" w:rsidRDefault="00BE16F8" w:rsidP="00BE16F8">
      <w:pPr>
        <w:tabs>
          <w:tab w:val="left" w:pos="7797"/>
        </w:tabs>
        <w:rPr>
          <w:rFonts w:ascii="Helvetica" w:hAnsi="Helvetica"/>
          <w:sz w:val="18"/>
        </w:rPr>
      </w:pPr>
    </w:p>
    <w:p w:rsidR="00BE16F8" w:rsidRPr="00C345E6" w:rsidRDefault="00BE16F8" w:rsidP="00BE16F8">
      <w:pPr>
        <w:tabs>
          <w:tab w:val="left" w:pos="7797"/>
        </w:tabs>
        <w:rPr>
          <w:rFonts w:ascii="Helvetica" w:hAnsi="Helvetica"/>
          <w:sz w:val="18"/>
        </w:rPr>
      </w:pPr>
    </w:p>
    <w:sectPr w:rsidR="00BE16F8" w:rsidRPr="00C345E6" w:rsidSect="00BE16F8">
      <w:headerReference w:type="default" r:id="rId7"/>
      <w:pgSz w:w="11900" w:h="16840"/>
      <w:pgMar w:top="1817" w:right="2121" w:bottom="993" w:left="1418" w:footer="544" w:gutter="0"/>
      <w:noEndnote/>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77B5" w:rsidRDefault="00A277B5">
      <w:r>
        <w:separator/>
      </w:r>
    </w:p>
  </w:endnote>
  <w:endnote w:type="continuationSeparator" w:id="0">
    <w:p w:rsidR="00A277B5" w:rsidRDefault="00A277B5">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77B5" w:rsidRDefault="00A277B5">
      <w:r>
        <w:separator/>
      </w:r>
    </w:p>
  </w:footnote>
  <w:footnote w:type="continuationSeparator" w:id="0">
    <w:p w:rsidR="00A277B5" w:rsidRDefault="00A277B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128" w:rsidRDefault="00B45D27">
    <w:pPr>
      <w:pStyle w:val="Kopfzeile"/>
      <w:tabs>
        <w:tab w:val="clear" w:pos="9072"/>
        <w:tab w:val="right" w:pos="9540"/>
      </w:tabs>
      <w:ind w:right="1409"/>
    </w:pPr>
    <w:r>
      <w:rPr>
        <w:noProof/>
      </w:rPr>
      <w:drawing>
        <wp:anchor distT="0" distB="0" distL="114300" distR="114300" simplePos="0" relativeHeight="251657728" behindDoc="0" locked="0" layoutInCell="0" allowOverlap="1">
          <wp:simplePos x="0" y="0"/>
          <wp:positionH relativeFrom="column">
            <wp:posOffset>4800600</wp:posOffset>
          </wp:positionH>
          <wp:positionV relativeFrom="paragraph">
            <wp:posOffset>-33020</wp:posOffset>
          </wp:positionV>
          <wp:extent cx="1376045" cy="556260"/>
          <wp:effectExtent l="19050" t="0" r="0" b="0"/>
          <wp:wrapSquare wrapText="bothSides"/>
          <wp:docPr id="1" name="Bild 1" descr="ACD-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D-Logo-RGB"/>
                  <pic:cNvPicPr>
                    <a:picLocks noChangeAspect="1" noChangeArrowheads="1"/>
                  </pic:cNvPicPr>
                </pic:nvPicPr>
                <pic:blipFill>
                  <a:blip r:embed="rId1"/>
                  <a:srcRect/>
                  <a:stretch>
                    <a:fillRect/>
                  </a:stretch>
                </pic:blipFill>
                <pic:spPr bwMode="auto">
                  <a:xfrm>
                    <a:off x="0" y="0"/>
                    <a:ext cx="1376045" cy="556260"/>
                  </a:xfrm>
                  <a:prstGeom prst="rect">
                    <a:avLst/>
                  </a:prstGeom>
                  <a:noFill/>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91097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Tahoma"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Tahoma"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hybridMultilevel"/>
    <w:tmpl w:val="FFFFFFFF"/>
    <w:lvl w:ilvl="0" w:tplc="AD4AA0AA">
      <w:numFmt w:val="bullet"/>
      <w:lvlText w:val="-"/>
      <w:lvlJc w:val="left"/>
      <w:pPr>
        <w:tabs>
          <w:tab w:val="num" w:pos="1428"/>
        </w:tabs>
        <w:ind w:left="1428" w:hanging="360"/>
      </w:pPr>
      <w:rPr>
        <w:rFonts w:ascii="Arial" w:eastAsia="Times New Roman" w:hAnsi="Arial" w:cs="Tahoma" w:hint="default"/>
      </w:rPr>
    </w:lvl>
    <w:lvl w:ilvl="1" w:tplc="2648E09C" w:tentative="1">
      <w:start w:val="1"/>
      <w:numFmt w:val="bullet"/>
      <w:lvlText w:val="o"/>
      <w:lvlJc w:val="left"/>
      <w:pPr>
        <w:tabs>
          <w:tab w:val="num" w:pos="1440"/>
        </w:tabs>
        <w:ind w:left="1440" w:hanging="360"/>
      </w:pPr>
      <w:rPr>
        <w:rFonts w:ascii="Courier New" w:hAnsi="Courier New" w:cs="Tahoma" w:hint="default"/>
      </w:rPr>
    </w:lvl>
    <w:lvl w:ilvl="2" w:tplc="55E22D9C" w:tentative="1">
      <w:start w:val="1"/>
      <w:numFmt w:val="bullet"/>
      <w:lvlText w:val=""/>
      <w:lvlJc w:val="left"/>
      <w:pPr>
        <w:tabs>
          <w:tab w:val="num" w:pos="2160"/>
        </w:tabs>
        <w:ind w:left="2160" w:hanging="360"/>
      </w:pPr>
      <w:rPr>
        <w:rFonts w:ascii="Wingdings" w:hAnsi="Wingdings" w:hint="default"/>
      </w:rPr>
    </w:lvl>
    <w:lvl w:ilvl="3" w:tplc="2F3C805C" w:tentative="1">
      <w:start w:val="1"/>
      <w:numFmt w:val="bullet"/>
      <w:lvlText w:val=""/>
      <w:lvlJc w:val="left"/>
      <w:pPr>
        <w:tabs>
          <w:tab w:val="num" w:pos="2880"/>
        </w:tabs>
        <w:ind w:left="2880" w:hanging="360"/>
      </w:pPr>
      <w:rPr>
        <w:rFonts w:ascii="Symbol" w:hAnsi="Symbol" w:hint="default"/>
      </w:rPr>
    </w:lvl>
    <w:lvl w:ilvl="4" w:tplc="C74415CC" w:tentative="1">
      <w:start w:val="1"/>
      <w:numFmt w:val="bullet"/>
      <w:lvlText w:val="o"/>
      <w:lvlJc w:val="left"/>
      <w:pPr>
        <w:tabs>
          <w:tab w:val="num" w:pos="3600"/>
        </w:tabs>
        <w:ind w:left="3600" w:hanging="360"/>
      </w:pPr>
      <w:rPr>
        <w:rFonts w:ascii="Courier New" w:hAnsi="Courier New" w:cs="Tahoma" w:hint="default"/>
      </w:rPr>
    </w:lvl>
    <w:lvl w:ilvl="5" w:tplc="76842C90" w:tentative="1">
      <w:start w:val="1"/>
      <w:numFmt w:val="bullet"/>
      <w:lvlText w:val=""/>
      <w:lvlJc w:val="left"/>
      <w:pPr>
        <w:tabs>
          <w:tab w:val="num" w:pos="4320"/>
        </w:tabs>
        <w:ind w:left="4320" w:hanging="360"/>
      </w:pPr>
      <w:rPr>
        <w:rFonts w:ascii="Wingdings" w:hAnsi="Wingdings" w:hint="default"/>
      </w:rPr>
    </w:lvl>
    <w:lvl w:ilvl="6" w:tplc="044E746E" w:tentative="1">
      <w:start w:val="1"/>
      <w:numFmt w:val="bullet"/>
      <w:lvlText w:val=""/>
      <w:lvlJc w:val="left"/>
      <w:pPr>
        <w:tabs>
          <w:tab w:val="num" w:pos="5040"/>
        </w:tabs>
        <w:ind w:left="5040" w:hanging="360"/>
      </w:pPr>
      <w:rPr>
        <w:rFonts w:ascii="Symbol" w:hAnsi="Symbol" w:hint="default"/>
      </w:rPr>
    </w:lvl>
    <w:lvl w:ilvl="7" w:tplc="14D490C6" w:tentative="1">
      <w:start w:val="1"/>
      <w:numFmt w:val="bullet"/>
      <w:lvlText w:val="o"/>
      <w:lvlJc w:val="left"/>
      <w:pPr>
        <w:tabs>
          <w:tab w:val="num" w:pos="5760"/>
        </w:tabs>
        <w:ind w:left="5760" w:hanging="360"/>
      </w:pPr>
      <w:rPr>
        <w:rFonts w:ascii="Courier New" w:hAnsi="Courier New" w:cs="Tahoma" w:hint="default"/>
      </w:rPr>
    </w:lvl>
    <w:lvl w:ilvl="8" w:tplc="85FCAA40" w:tentative="1">
      <w:start w:val="1"/>
      <w:numFmt w:val="bullet"/>
      <w:lvlText w:val=""/>
      <w:lvlJc w:val="left"/>
      <w:pPr>
        <w:tabs>
          <w:tab w:val="num" w:pos="6480"/>
        </w:tabs>
        <w:ind w:left="6480" w:hanging="360"/>
      </w:pPr>
      <w:rPr>
        <w:rFonts w:ascii="Wingdings" w:hAnsi="Wingdings" w:hint="default"/>
      </w:rPr>
    </w:lvl>
  </w:abstractNum>
  <w:abstractNum w:abstractNumId="2">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nsid w:val="56D32A02"/>
    <w:multiLevelType w:val="hybridMultilevel"/>
    <w:tmpl w:val="D2660CA2"/>
    <w:lvl w:ilvl="0" w:tplc="15084D1A">
      <w:numFmt w:val="bullet"/>
      <w:lvlText w:val="-"/>
      <w:lvlJc w:val="left"/>
      <w:pPr>
        <w:tabs>
          <w:tab w:val="num" w:pos="720"/>
        </w:tabs>
        <w:ind w:left="720" w:hanging="360"/>
      </w:pPr>
      <w:rPr>
        <w:rFonts w:ascii="Helvetica" w:eastAsia="Times New Roman" w:hAnsi="Helvetica" w:hint="default"/>
      </w:rPr>
    </w:lvl>
    <w:lvl w:ilvl="1" w:tplc="3F40F7A6">
      <w:start w:val="1"/>
      <w:numFmt w:val="bullet"/>
      <w:lvlText w:val="o"/>
      <w:lvlJc w:val="left"/>
      <w:pPr>
        <w:tabs>
          <w:tab w:val="num" w:pos="1440"/>
        </w:tabs>
        <w:ind w:left="1440" w:hanging="360"/>
      </w:pPr>
      <w:rPr>
        <w:rFonts w:ascii="Courier New" w:hAnsi="Courier New" w:cs="Tahoma" w:hint="default"/>
      </w:rPr>
    </w:lvl>
    <w:lvl w:ilvl="2" w:tplc="1BB6689A">
      <w:start w:val="1"/>
      <w:numFmt w:val="bullet"/>
      <w:lvlText w:val=""/>
      <w:lvlJc w:val="left"/>
      <w:pPr>
        <w:tabs>
          <w:tab w:val="num" w:pos="2160"/>
        </w:tabs>
        <w:ind w:left="2160" w:hanging="360"/>
      </w:pPr>
      <w:rPr>
        <w:rFonts w:ascii="Wingdings" w:hAnsi="Wingdings" w:cs="Tahoma" w:hint="default"/>
      </w:rPr>
    </w:lvl>
    <w:lvl w:ilvl="3" w:tplc="5F942BF0">
      <w:start w:val="1"/>
      <w:numFmt w:val="bullet"/>
      <w:lvlText w:val=""/>
      <w:lvlJc w:val="left"/>
      <w:pPr>
        <w:tabs>
          <w:tab w:val="num" w:pos="2880"/>
        </w:tabs>
        <w:ind w:left="2880" w:hanging="360"/>
      </w:pPr>
      <w:rPr>
        <w:rFonts w:ascii="Symbol" w:hAnsi="Symbol" w:cs="Tahoma" w:hint="default"/>
      </w:rPr>
    </w:lvl>
    <w:lvl w:ilvl="4" w:tplc="EB780E44">
      <w:start w:val="1"/>
      <w:numFmt w:val="bullet"/>
      <w:lvlText w:val="o"/>
      <w:lvlJc w:val="left"/>
      <w:pPr>
        <w:tabs>
          <w:tab w:val="num" w:pos="3600"/>
        </w:tabs>
        <w:ind w:left="3600" w:hanging="360"/>
      </w:pPr>
      <w:rPr>
        <w:rFonts w:ascii="Courier New" w:hAnsi="Courier New" w:cs="Tahoma" w:hint="default"/>
      </w:rPr>
    </w:lvl>
    <w:lvl w:ilvl="5" w:tplc="8D5A50EA">
      <w:start w:val="1"/>
      <w:numFmt w:val="bullet"/>
      <w:lvlText w:val=""/>
      <w:lvlJc w:val="left"/>
      <w:pPr>
        <w:tabs>
          <w:tab w:val="num" w:pos="4320"/>
        </w:tabs>
        <w:ind w:left="4320" w:hanging="360"/>
      </w:pPr>
      <w:rPr>
        <w:rFonts w:ascii="Wingdings" w:hAnsi="Wingdings" w:cs="Tahoma" w:hint="default"/>
      </w:rPr>
    </w:lvl>
    <w:lvl w:ilvl="6" w:tplc="B1A221B8">
      <w:start w:val="1"/>
      <w:numFmt w:val="bullet"/>
      <w:lvlText w:val=""/>
      <w:lvlJc w:val="left"/>
      <w:pPr>
        <w:tabs>
          <w:tab w:val="num" w:pos="5040"/>
        </w:tabs>
        <w:ind w:left="5040" w:hanging="360"/>
      </w:pPr>
      <w:rPr>
        <w:rFonts w:ascii="Symbol" w:hAnsi="Symbol" w:cs="Tahoma" w:hint="default"/>
      </w:rPr>
    </w:lvl>
    <w:lvl w:ilvl="7" w:tplc="01D80946">
      <w:start w:val="1"/>
      <w:numFmt w:val="bullet"/>
      <w:lvlText w:val="o"/>
      <w:lvlJc w:val="left"/>
      <w:pPr>
        <w:tabs>
          <w:tab w:val="num" w:pos="5760"/>
        </w:tabs>
        <w:ind w:left="5760" w:hanging="360"/>
      </w:pPr>
      <w:rPr>
        <w:rFonts w:ascii="Courier New" w:hAnsi="Courier New" w:cs="Tahoma" w:hint="default"/>
      </w:rPr>
    </w:lvl>
    <w:lvl w:ilvl="8" w:tplc="3B8AA49A">
      <w:start w:val="1"/>
      <w:numFmt w:val="bullet"/>
      <w:lvlText w:val=""/>
      <w:lvlJc w:val="left"/>
      <w:pPr>
        <w:tabs>
          <w:tab w:val="num" w:pos="6480"/>
        </w:tabs>
        <w:ind w:left="6480" w:hanging="360"/>
      </w:pPr>
      <w:rPr>
        <w:rFonts w:ascii="Wingdings" w:hAnsi="Wingdings" w:cs="Tahoma" w:hint="default"/>
      </w:rPr>
    </w:lvl>
  </w:abstractNum>
  <w:abstractNum w:abstractNumId="6">
    <w:nsid w:val="6F5A3163"/>
    <w:multiLevelType w:val="multilevel"/>
    <w:tmpl w:val="9FAAAF3A"/>
    <w:lvl w:ilvl="0">
      <w:start w:val="1"/>
      <w:numFmt w:val="bullet"/>
      <w:lvlText w:val="o"/>
      <w:lvlJc w:val="left"/>
      <w:pPr>
        <w:tabs>
          <w:tab w:val="num" w:pos="720"/>
        </w:tabs>
        <w:ind w:left="720" w:hanging="360"/>
      </w:pPr>
      <w:rPr>
        <w:rFonts w:ascii="Courier New" w:hAnsi="Courier New" w:cs="Tahoma" w:hint="default"/>
      </w:rPr>
    </w:lvl>
    <w:lvl w:ilvl="1">
      <w:start w:val="1"/>
      <w:numFmt w:val="bullet"/>
      <w:lvlText w:val="o"/>
      <w:lvlJc w:val="left"/>
      <w:pPr>
        <w:tabs>
          <w:tab w:val="num" w:pos="1440"/>
        </w:tabs>
        <w:ind w:left="1440" w:hanging="360"/>
      </w:pPr>
      <w:rPr>
        <w:rFonts w:ascii="Courier New" w:hAnsi="Courier New" w:cs="Tahoma" w:hint="default"/>
      </w:rPr>
    </w:lvl>
    <w:lvl w:ilvl="2">
      <w:start w:val="1"/>
      <w:numFmt w:val="bullet"/>
      <w:lvlText w:val=""/>
      <w:lvlJc w:val="left"/>
      <w:pPr>
        <w:tabs>
          <w:tab w:val="num" w:pos="2160"/>
        </w:tabs>
        <w:ind w:left="2160" w:hanging="360"/>
      </w:pPr>
      <w:rPr>
        <w:rFonts w:ascii="Wingdings" w:hAnsi="Wingdings" w:cs="Tahoma"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Tahoma" w:hint="default"/>
      </w:rPr>
    </w:lvl>
    <w:lvl w:ilvl="5">
      <w:start w:val="1"/>
      <w:numFmt w:val="bullet"/>
      <w:lvlText w:val=""/>
      <w:lvlJc w:val="left"/>
      <w:pPr>
        <w:tabs>
          <w:tab w:val="num" w:pos="4320"/>
        </w:tabs>
        <w:ind w:left="4320" w:hanging="360"/>
      </w:pPr>
      <w:rPr>
        <w:rFonts w:ascii="Wingdings" w:hAnsi="Wingdings" w:cs="Tahoma"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Tahoma" w:hint="default"/>
      </w:rPr>
    </w:lvl>
    <w:lvl w:ilvl="8">
      <w:start w:val="1"/>
      <w:numFmt w:val="bullet"/>
      <w:lvlText w:val=""/>
      <w:lvlJc w:val="left"/>
      <w:pPr>
        <w:tabs>
          <w:tab w:val="num" w:pos="6480"/>
        </w:tabs>
        <w:ind w:left="6480" w:hanging="360"/>
      </w:pPr>
      <w:rPr>
        <w:rFonts w:ascii="Wingdings" w:hAnsi="Wingdings" w:cs="Tahoma" w:hint="default"/>
      </w:rPr>
    </w:lvl>
  </w:abstractNum>
  <w:abstractNum w:abstractNumId="7">
    <w:nsid w:val="72044E0F"/>
    <w:multiLevelType w:val="hybridMultilevel"/>
    <w:tmpl w:val="48C66A60"/>
    <w:lvl w:ilvl="0" w:tplc="214CB024">
      <w:numFmt w:val="bullet"/>
      <w:lvlText w:val="-"/>
      <w:lvlJc w:val="left"/>
      <w:pPr>
        <w:tabs>
          <w:tab w:val="num" w:pos="1428"/>
        </w:tabs>
        <w:ind w:left="1428" w:hanging="360"/>
      </w:pPr>
      <w:rPr>
        <w:rFonts w:ascii="Arial" w:eastAsia="Times New Roman" w:hAnsi="Arial" w:cs="Tahoma" w:hint="default"/>
      </w:rPr>
    </w:lvl>
    <w:lvl w:ilvl="1" w:tplc="DD5A5D92">
      <w:start w:val="1"/>
      <w:numFmt w:val="bullet"/>
      <w:lvlText w:val="o"/>
      <w:lvlJc w:val="left"/>
      <w:pPr>
        <w:tabs>
          <w:tab w:val="num" w:pos="2148"/>
        </w:tabs>
        <w:ind w:left="2148" w:hanging="360"/>
      </w:pPr>
      <w:rPr>
        <w:rFonts w:ascii="Courier New" w:hAnsi="Courier New" w:cs="Tahoma" w:hint="default"/>
      </w:rPr>
    </w:lvl>
    <w:lvl w:ilvl="2" w:tplc="37F2CFA0" w:tentative="1">
      <w:start w:val="1"/>
      <w:numFmt w:val="bullet"/>
      <w:lvlText w:val=""/>
      <w:lvlJc w:val="left"/>
      <w:pPr>
        <w:tabs>
          <w:tab w:val="num" w:pos="2868"/>
        </w:tabs>
        <w:ind w:left="2868" w:hanging="360"/>
      </w:pPr>
      <w:rPr>
        <w:rFonts w:ascii="Wingdings" w:hAnsi="Wingdings" w:hint="default"/>
      </w:rPr>
    </w:lvl>
    <w:lvl w:ilvl="3" w:tplc="DEF894EC" w:tentative="1">
      <w:start w:val="1"/>
      <w:numFmt w:val="bullet"/>
      <w:lvlText w:val=""/>
      <w:lvlJc w:val="left"/>
      <w:pPr>
        <w:tabs>
          <w:tab w:val="num" w:pos="3588"/>
        </w:tabs>
        <w:ind w:left="3588" w:hanging="360"/>
      </w:pPr>
      <w:rPr>
        <w:rFonts w:ascii="Symbol" w:hAnsi="Symbol" w:hint="default"/>
      </w:rPr>
    </w:lvl>
    <w:lvl w:ilvl="4" w:tplc="86CE20BE" w:tentative="1">
      <w:start w:val="1"/>
      <w:numFmt w:val="bullet"/>
      <w:lvlText w:val="o"/>
      <w:lvlJc w:val="left"/>
      <w:pPr>
        <w:tabs>
          <w:tab w:val="num" w:pos="4308"/>
        </w:tabs>
        <w:ind w:left="4308" w:hanging="360"/>
      </w:pPr>
      <w:rPr>
        <w:rFonts w:ascii="Courier New" w:hAnsi="Courier New" w:cs="Tahoma" w:hint="default"/>
      </w:rPr>
    </w:lvl>
    <w:lvl w:ilvl="5" w:tplc="8DF0A396" w:tentative="1">
      <w:start w:val="1"/>
      <w:numFmt w:val="bullet"/>
      <w:lvlText w:val=""/>
      <w:lvlJc w:val="left"/>
      <w:pPr>
        <w:tabs>
          <w:tab w:val="num" w:pos="5028"/>
        </w:tabs>
        <w:ind w:left="5028" w:hanging="360"/>
      </w:pPr>
      <w:rPr>
        <w:rFonts w:ascii="Wingdings" w:hAnsi="Wingdings" w:hint="default"/>
      </w:rPr>
    </w:lvl>
    <w:lvl w:ilvl="6" w:tplc="32E4E1FA" w:tentative="1">
      <w:start w:val="1"/>
      <w:numFmt w:val="bullet"/>
      <w:lvlText w:val=""/>
      <w:lvlJc w:val="left"/>
      <w:pPr>
        <w:tabs>
          <w:tab w:val="num" w:pos="5748"/>
        </w:tabs>
        <w:ind w:left="5748" w:hanging="360"/>
      </w:pPr>
      <w:rPr>
        <w:rFonts w:ascii="Symbol" w:hAnsi="Symbol" w:hint="default"/>
      </w:rPr>
    </w:lvl>
    <w:lvl w:ilvl="7" w:tplc="B78AA842" w:tentative="1">
      <w:start w:val="1"/>
      <w:numFmt w:val="bullet"/>
      <w:lvlText w:val="o"/>
      <w:lvlJc w:val="left"/>
      <w:pPr>
        <w:tabs>
          <w:tab w:val="num" w:pos="6468"/>
        </w:tabs>
        <w:ind w:left="6468" w:hanging="360"/>
      </w:pPr>
      <w:rPr>
        <w:rFonts w:ascii="Courier New" w:hAnsi="Courier New" w:cs="Tahoma" w:hint="default"/>
      </w:rPr>
    </w:lvl>
    <w:lvl w:ilvl="8" w:tplc="91D88C02" w:tentative="1">
      <w:start w:val="1"/>
      <w:numFmt w:val="bullet"/>
      <w:lvlText w:val=""/>
      <w:lvlJc w:val="left"/>
      <w:pPr>
        <w:tabs>
          <w:tab w:val="num" w:pos="7188"/>
        </w:tabs>
        <w:ind w:left="7188" w:hanging="360"/>
      </w:pPr>
      <w:rPr>
        <w:rFonts w:ascii="Wingdings" w:hAnsi="Wingdings" w:hint="default"/>
      </w:rPr>
    </w:lvl>
  </w:abstractNum>
  <w:abstractNum w:abstractNumId="8">
    <w:nsid w:val="776C345D"/>
    <w:multiLevelType w:val="hybridMultilevel"/>
    <w:tmpl w:val="148459C4"/>
    <w:lvl w:ilvl="0" w:tplc="EE06E0CC">
      <w:start w:val="1"/>
      <w:numFmt w:val="bullet"/>
      <w:lvlText w:val=""/>
      <w:lvlJc w:val="left"/>
      <w:pPr>
        <w:ind w:left="720" w:hanging="360"/>
      </w:pPr>
      <w:rPr>
        <w:rFonts w:ascii="Symbol" w:hAnsi="Symbol" w:hint="default"/>
      </w:rPr>
    </w:lvl>
    <w:lvl w:ilvl="1" w:tplc="AAA89282">
      <w:start w:val="1"/>
      <w:numFmt w:val="bullet"/>
      <w:lvlText w:val="o"/>
      <w:lvlJc w:val="left"/>
      <w:pPr>
        <w:ind w:left="1440" w:hanging="360"/>
      </w:pPr>
      <w:rPr>
        <w:rFonts w:ascii="Courier New" w:hAnsi="Courier New" w:hint="default"/>
      </w:rPr>
    </w:lvl>
    <w:lvl w:ilvl="2" w:tplc="F1B42C20" w:tentative="1">
      <w:start w:val="1"/>
      <w:numFmt w:val="bullet"/>
      <w:lvlText w:val=""/>
      <w:lvlJc w:val="left"/>
      <w:pPr>
        <w:ind w:left="2160" w:hanging="360"/>
      </w:pPr>
      <w:rPr>
        <w:rFonts w:ascii="Wingdings" w:hAnsi="Wingdings" w:hint="default"/>
      </w:rPr>
    </w:lvl>
    <w:lvl w:ilvl="3" w:tplc="3B0A36E6" w:tentative="1">
      <w:start w:val="1"/>
      <w:numFmt w:val="bullet"/>
      <w:lvlText w:val=""/>
      <w:lvlJc w:val="left"/>
      <w:pPr>
        <w:ind w:left="2880" w:hanging="360"/>
      </w:pPr>
      <w:rPr>
        <w:rFonts w:ascii="Symbol" w:hAnsi="Symbol" w:hint="default"/>
      </w:rPr>
    </w:lvl>
    <w:lvl w:ilvl="4" w:tplc="8C52AFD0" w:tentative="1">
      <w:start w:val="1"/>
      <w:numFmt w:val="bullet"/>
      <w:lvlText w:val="o"/>
      <w:lvlJc w:val="left"/>
      <w:pPr>
        <w:ind w:left="3600" w:hanging="360"/>
      </w:pPr>
      <w:rPr>
        <w:rFonts w:ascii="Courier New" w:hAnsi="Courier New" w:hint="default"/>
      </w:rPr>
    </w:lvl>
    <w:lvl w:ilvl="5" w:tplc="7424F710" w:tentative="1">
      <w:start w:val="1"/>
      <w:numFmt w:val="bullet"/>
      <w:lvlText w:val=""/>
      <w:lvlJc w:val="left"/>
      <w:pPr>
        <w:ind w:left="4320" w:hanging="360"/>
      </w:pPr>
      <w:rPr>
        <w:rFonts w:ascii="Wingdings" w:hAnsi="Wingdings" w:hint="default"/>
      </w:rPr>
    </w:lvl>
    <w:lvl w:ilvl="6" w:tplc="A6B4D596" w:tentative="1">
      <w:start w:val="1"/>
      <w:numFmt w:val="bullet"/>
      <w:lvlText w:val=""/>
      <w:lvlJc w:val="left"/>
      <w:pPr>
        <w:ind w:left="5040" w:hanging="360"/>
      </w:pPr>
      <w:rPr>
        <w:rFonts w:ascii="Symbol" w:hAnsi="Symbol" w:hint="default"/>
      </w:rPr>
    </w:lvl>
    <w:lvl w:ilvl="7" w:tplc="87D43670" w:tentative="1">
      <w:start w:val="1"/>
      <w:numFmt w:val="bullet"/>
      <w:lvlText w:val="o"/>
      <w:lvlJc w:val="left"/>
      <w:pPr>
        <w:ind w:left="5760" w:hanging="360"/>
      </w:pPr>
      <w:rPr>
        <w:rFonts w:ascii="Courier New" w:hAnsi="Courier New" w:hint="default"/>
      </w:rPr>
    </w:lvl>
    <w:lvl w:ilvl="8" w:tplc="E4C4C654"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7"/>
  </w:num>
  <w:num w:numId="4">
    <w:abstractNumId w:val="1"/>
  </w:num>
  <w:num w:numId="5">
    <w:abstractNumId w:val="2"/>
  </w:num>
  <w:num w:numId="6">
    <w:abstractNumId w:val="8"/>
  </w:num>
  <w:num w:numId="7">
    <w:abstractNumId w:val="4"/>
  </w:num>
  <w:num w:numId="8">
    <w:abstractNumId w:val="3"/>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stylePaneFormatFilter w:val="3701"/>
  <w:revisionView w:markup="0"/>
  <w:doNotTrackMoves/>
  <w:defaultTabStop w:val="708"/>
  <w:autoHyphenation/>
  <w:hyphenationZone w:val="425"/>
  <w:doNotHyphenateCaps/>
  <w:characterSpacingControl w:val="doNotCompress"/>
  <w:savePreviewPicture/>
  <w:hdrShapeDefaults>
    <o:shapedefaults v:ext="edit" spidmax="2050"/>
  </w:hdrShapeDefaults>
  <w:footnotePr>
    <w:footnote w:id="-1"/>
    <w:footnote w:id="0"/>
  </w:footnotePr>
  <w:endnotePr>
    <w:endnote w:id="-1"/>
    <w:endnote w:id="0"/>
  </w:endnotePr>
  <w:compat/>
  <w:rsids>
    <w:rsidRoot w:val="00B71177"/>
    <w:rsid w:val="00032CBB"/>
    <w:rsid w:val="0005254F"/>
    <w:rsid w:val="00083184"/>
    <w:rsid w:val="00095800"/>
    <w:rsid w:val="0009582F"/>
    <w:rsid w:val="000B2261"/>
    <w:rsid w:val="000F4DA0"/>
    <w:rsid w:val="000F6265"/>
    <w:rsid w:val="001074DD"/>
    <w:rsid w:val="001169AE"/>
    <w:rsid w:val="00184222"/>
    <w:rsid w:val="00206C75"/>
    <w:rsid w:val="00260CDD"/>
    <w:rsid w:val="00293281"/>
    <w:rsid w:val="002C213D"/>
    <w:rsid w:val="002D7BAE"/>
    <w:rsid w:val="00307E86"/>
    <w:rsid w:val="00327EB9"/>
    <w:rsid w:val="003758CB"/>
    <w:rsid w:val="003A1A50"/>
    <w:rsid w:val="004A3D57"/>
    <w:rsid w:val="004C0C34"/>
    <w:rsid w:val="004F21D9"/>
    <w:rsid w:val="005101F6"/>
    <w:rsid w:val="00543128"/>
    <w:rsid w:val="00593E8A"/>
    <w:rsid w:val="005B3C1F"/>
    <w:rsid w:val="005B5B64"/>
    <w:rsid w:val="005E5801"/>
    <w:rsid w:val="006034DF"/>
    <w:rsid w:val="006171AD"/>
    <w:rsid w:val="006511B4"/>
    <w:rsid w:val="00672606"/>
    <w:rsid w:val="006B7BB7"/>
    <w:rsid w:val="006C740A"/>
    <w:rsid w:val="008231AF"/>
    <w:rsid w:val="0089267A"/>
    <w:rsid w:val="008A20E1"/>
    <w:rsid w:val="008B347D"/>
    <w:rsid w:val="008C5623"/>
    <w:rsid w:val="008E1B9D"/>
    <w:rsid w:val="00986A17"/>
    <w:rsid w:val="00997193"/>
    <w:rsid w:val="009D2992"/>
    <w:rsid w:val="009E07DB"/>
    <w:rsid w:val="009F1B50"/>
    <w:rsid w:val="009F1DB7"/>
    <w:rsid w:val="00A10A07"/>
    <w:rsid w:val="00A20343"/>
    <w:rsid w:val="00A277B5"/>
    <w:rsid w:val="00A43008"/>
    <w:rsid w:val="00A5021D"/>
    <w:rsid w:val="00A5288E"/>
    <w:rsid w:val="00A528A7"/>
    <w:rsid w:val="00A75A6C"/>
    <w:rsid w:val="00AC5DC8"/>
    <w:rsid w:val="00B27587"/>
    <w:rsid w:val="00B3362A"/>
    <w:rsid w:val="00B420DF"/>
    <w:rsid w:val="00B45D27"/>
    <w:rsid w:val="00B71177"/>
    <w:rsid w:val="00B912BE"/>
    <w:rsid w:val="00B92DC9"/>
    <w:rsid w:val="00BD57A5"/>
    <w:rsid w:val="00BE10CA"/>
    <w:rsid w:val="00BE16F8"/>
    <w:rsid w:val="00C47A7C"/>
    <w:rsid w:val="00C5335F"/>
    <w:rsid w:val="00CC5C9E"/>
    <w:rsid w:val="00CD7E63"/>
    <w:rsid w:val="00D14C10"/>
    <w:rsid w:val="00D42507"/>
    <w:rsid w:val="00D848A8"/>
    <w:rsid w:val="00DA3AAC"/>
    <w:rsid w:val="00DC3B75"/>
    <w:rsid w:val="00E062E2"/>
    <w:rsid w:val="00E53619"/>
    <w:rsid w:val="00E850E3"/>
    <w:rsid w:val="00EE70C0"/>
    <w:rsid w:val="00EF0590"/>
    <w:rsid w:val="00F115C8"/>
    <w:rsid w:val="00F33E0E"/>
    <w:rsid w:val="00F64881"/>
    <w:rsid w:val="00FA5370"/>
    <w:rsid w:val="00FE2BFD"/>
  </w:rsids>
  <m:mathPr>
    <m:mathFont m:val="Abadi MT Condensed Extra Bold"/>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97193"/>
    <w:rPr>
      <w:rFonts w:ascii="Times" w:hAnsi="Times"/>
      <w:sz w:val="24"/>
    </w:rPr>
  </w:style>
  <w:style w:type="paragraph" w:styleId="berschrift1">
    <w:name w:val="heading 1"/>
    <w:basedOn w:val="Standard"/>
    <w:next w:val="Standard"/>
    <w:qFormat/>
    <w:rsid w:val="00997193"/>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rsid w:val="00997193"/>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rsid w:val="00997193"/>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rsid w:val="00997193"/>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rsid w:val="00997193"/>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997193"/>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rsid w:val="0099719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rsid w:val="00997193"/>
    <w:pPr>
      <w:autoSpaceDE w:val="0"/>
      <w:autoSpaceDN w:val="0"/>
    </w:pPr>
    <w:rPr>
      <w:rFonts w:ascii="Helvetica" w:hAnsi="Helvetica" w:cs="Helvetica"/>
      <w:sz w:val="18"/>
      <w:szCs w:val="18"/>
    </w:rPr>
  </w:style>
  <w:style w:type="paragraph" w:styleId="Fuzeile">
    <w:name w:val="footer"/>
    <w:basedOn w:val="Standard"/>
    <w:rsid w:val="00997193"/>
    <w:pPr>
      <w:tabs>
        <w:tab w:val="center" w:pos="4536"/>
        <w:tab w:val="right" w:pos="9072"/>
      </w:tabs>
    </w:pPr>
  </w:style>
  <w:style w:type="paragraph" w:styleId="Sprechblasentext">
    <w:name w:val="Balloon Text"/>
    <w:basedOn w:val="Standard"/>
    <w:semiHidden/>
    <w:rsid w:val="00997193"/>
    <w:pPr>
      <w:autoSpaceDE w:val="0"/>
      <w:autoSpaceDN w:val="0"/>
    </w:pPr>
    <w:rPr>
      <w:rFonts w:ascii="Tahoma" w:hAnsi="Tahoma" w:cs="Courier New"/>
      <w:sz w:val="16"/>
      <w:szCs w:val="16"/>
    </w:rPr>
  </w:style>
  <w:style w:type="paragraph" w:styleId="Textkrper3">
    <w:name w:val="Body Text 3"/>
    <w:basedOn w:val="Standard"/>
    <w:rsid w:val="00997193"/>
    <w:rPr>
      <w:rFonts w:ascii="Helvetica" w:hAnsi="Helvetica"/>
      <w:sz w:val="20"/>
    </w:rPr>
  </w:style>
  <w:style w:type="paragraph" w:styleId="Textkrpereinzug">
    <w:name w:val="Body Text Indent"/>
    <w:basedOn w:val="Standard"/>
    <w:rsid w:val="00997193"/>
    <w:pPr>
      <w:ind w:left="567"/>
    </w:pPr>
    <w:rPr>
      <w:rFonts w:ascii="Helvetica" w:eastAsia="Times" w:hAnsi="Helvetica"/>
      <w:sz w:val="20"/>
    </w:rPr>
  </w:style>
  <w:style w:type="character" w:styleId="Link">
    <w:name w:val="Hyperlink"/>
    <w:rsid w:val="00997193"/>
    <w:rPr>
      <w:color w:val="0000FF"/>
      <w:u w:val="single"/>
    </w:rPr>
  </w:style>
  <w:style w:type="character" w:customStyle="1" w:styleId="KopfzeileZeichen">
    <w:name w:val="Kopfzeile Zeichen"/>
    <w:rsid w:val="00997193"/>
    <w:rPr>
      <w:rFonts w:ascii="Helvetica" w:hAnsi="Helvetica" w:cs="Helvetica"/>
      <w:sz w:val="22"/>
      <w:szCs w:val="22"/>
    </w:rPr>
  </w:style>
  <w:style w:type="character" w:customStyle="1" w:styleId="apple-style-span">
    <w:name w:val="apple-style-span"/>
    <w:basedOn w:val="Absatzstandardschriftart"/>
    <w:rsid w:val="00997193"/>
  </w:style>
  <w:style w:type="character" w:styleId="Kommentarzeichen">
    <w:name w:val="annotation reference"/>
    <w:rsid w:val="00997193"/>
    <w:rPr>
      <w:sz w:val="16"/>
    </w:rPr>
  </w:style>
  <w:style w:type="paragraph" w:styleId="Kommentartext">
    <w:name w:val="annotation text"/>
    <w:basedOn w:val="Standard"/>
    <w:link w:val="KommentartextZeichen"/>
    <w:rsid w:val="00997193"/>
    <w:rPr>
      <w:sz w:val="20"/>
    </w:rPr>
  </w:style>
  <w:style w:type="paragraph" w:styleId="Kommentarthema">
    <w:name w:val="annotation subject"/>
    <w:basedOn w:val="Kommentartext"/>
    <w:next w:val="Kommentartext"/>
    <w:link w:val="KommentarthemaZeichen"/>
    <w:uiPriority w:val="99"/>
    <w:semiHidden/>
    <w:unhideWhenUsed/>
    <w:rsid w:val="007742FD"/>
    <w:rPr>
      <w:b/>
      <w:bCs/>
    </w:rPr>
  </w:style>
  <w:style w:type="character" w:customStyle="1" w:styleId="KommentartextZeichen">
    <w:name w:val="Kommentartext Zeichen"/>
    <w:link w:val="Kommentartext"/>
    <w:rsid w:val="007742FD"/>
    <w:rPr>
      <w:rFonts w:ascii="Times" w:hAnsi="Times"/>
    </w:rPr>
  </w:style>
  <w:style w:type="character" w:customStyle="1" w:styleId="KommentarthemaZeichen">
    <w:name w:val="Kommentarthema Zeichen"/>
    <w:basedOn w:val="KommentartextZeichen"/>
    <w:link w:val="Kommentarthema"/>
    <w:rsid w:val="007742FD"/>
    <w:rPr>
      <w:rFonts w:ascii="Times" w:hAnsi="Times"/>
    </w:rPr>
  </w:style>
  <w:style w:type="character" w:styleId="GesichteterLink">
    <w:name w:val="FollowedHyperlink"/>
    <w:uiPriority w:val="99"/>
    <w:semiHidden/>
    <w:unhideWhenUsed/>
    <w:rsid w:val="005563A6"/>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28255301">
      <w:bodyDiv w:val="1"/>
      <w:marLeft w:val="0"/>
      <w:marRight w:val="0"/>
      <w:marTop w:val="0"/>
      <w:marBottom w:val="0"/>
      <w:divBdr>
        <w:top w:val="none" w:sz="0" w:space="0" w:color="auto"/>
        <w:left w:val="none" w:sz="0" w:space="0" w:color="auto"/>
        <w:bottom w:val="none" w:sz="0" w:space="0" w:color="auto"/>
        <w:right w:val="none" w:sz="0" w:space="0" w:color="auto"/>
      </w:divBdr>
    </w:div>
    <w:div w:id="20199601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632</Words>
  <Characters>3606</Characters>
  <Application>Microsoft Macintosh Word</Application>
  <DocSecurity>0</DocSecurity>
  <Lines>30</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AKTIF Technology GmbH</Company>
  <LinksUpToDate>false</LinksUpToDate>
  <CharactersWithSpaces>4428</CharactersWithSpaces>
  <SharedDoc>false</SharedDoc>
  <HLinks>
    <vt:vector size="12" baseType="variant">
      <vt:variant>
        <vt:i4>103</vt:i4>
      </vt:variant>
      <vt:variant>
        <vt:i4>0</vt:i4>
      </vt:variant>
      <vt:variant>
        <vt:i4>0</vt:i4>
      </vt:variant>
      <vt:variant>
        <vt:i4>5</vt:i4>
      </vt:variant>
      <vt:variant>
        <vt:lpwstr>http://www.medtech-pharma.de/deutsch/branchen-infos/mitglieder-datenbank/alphabetische-liste.aspx</vt:lpwstr>
      </vt:variant>
      <vt:variant>
        <vt:lpwstr/>
      </vt:variant>
      <vt:variant>
        <vt:i4>6160452</vt:i4>
      </vt:variant>
      <vt:variant>
        <vt:i4>-1</vt:i4>
      </vt:variant>
      <vt:variant>
        <vt:i4>2049</vt:i4>
      </vt:variant>
      <vt:variant>
        <vt:i4>1</vt:i4>
      </vt:variant>
      <vt:variant>
        <vt:lpwstr>ACD-Logo-RGB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Silke Söldner</dc:creator>
  <cp:lastModifiedBy>Désirée Müller</cp:lastModifiedBy>
  <cp:revision>9</cp:revision>
  <cp:lastPrinted>2015-06-30T09:36:00Z</cp:lastPrinted>
  <dcterms:created xsi:type="dcterms:W3CDTF">2015-05-06T12:20:00Z</dcterms:created>
  <dcterms:modified xsi:type="dcterms:W3CDTF">2015-07-07T06:29:00Z</dcterms:modified>
</cp:coreProperties>
</file>